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2026ZYH006</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2</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21</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22</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23</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24</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25</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26</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27</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849"/>
      <w:bookmarkStart w:id="9" w:name="_Toc98945516"/>
      <w:r>
        <w:rPr>
          <w:rFonts w:hint="eastAsia" w:ascii="宋体" w:hAnsi="宋体" w:cs="宋体"/>
          <w:b/>
          <w:bCs/>
          <w:color w:val="auto"/>
          <w:sz w:val="28"/>
          <w:szCs w:val="28"/>
          <w:lang w:val="en-US" w:eastAsia="zh-CN"/>
        </w:rPr>
        <w:t>核酸扩增检测分析仪设备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b/>
                <w:bCs/>
                <w:spacing w:val="-4"/>
              </w:rPr>
              <w:t>核酸扩增检测分析仪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spacing w:line="300" w:lineRule="auto"/>
              <w:rPr>
                <w:rFonts w:hint="eastAsia" w:asciiTheme="minorEastAsia" w:hAnsiTheme="minorEastAsia" w:eastAsiaTheme="minorEastAsia" w:cstheme="minorEastAsia"/>
                <w:b w:val="0"/>
                <w:bCs w:val="0"/>
                <w:color w:val="FF0000"/>
                <w:kern w:val="2"/>
                <w:sz w:val="18"/>
                <w:szCs w:val="18"/>
                <w:highlight w:val="yellow"/>
                <w:lang w:val="en-US" w:eastAsia="zh-CN" w:bidi="ar-SA"/>
              </w:rPr>
            </w:pPr>
            <w:r>
              <w:rPr>
                <w:rFonts w:hint="eastAsia" w:asciiTheme="minorEastAsia" w:hAnsiTheme="minorEastAsia" w:eastAsiaTheme="minorEastAsia" w:cstheme="minorEastAsia"/>
                <w:b w:val="0"/>
                <w:bCs w:val="0"/>
                <w:spacing w:val="-2"/>
                <w:sz w:val="18"/>
                <w:szCs w:val="18"/>
              </w:rPr>
              <w:t>通道独立</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pacing w:val="-1"/>
                <w:sz w:val="18"/>
                <w:szCs w:val="18"/>
              </w:rPr>
              <w:t>每个通道独立运行，互不干扰</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多种项目同时开展</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1"/>
                <w:sz w:val="18"/>
                <w:szCs w:val="18"/>
              </w:rPr>
              <w:t>同检测通道可以随时开展不同项目检测</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ab/>
            </w:r>
            <w:r>
              <w:rPr>
                <w:rFonts w:hint="eastAsia" w:asciiTheme="minorEastAsia" w:hAnsiTheme="minorEastAsia" w:eastAsiaTheme="minorEastAsia" w:cstheme="minorEastAsia"/>
                <w:b w:val="0"/>
                <w:bCs w:val="0"/>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无批次限制，随来随检</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7"/>
                <w:sz w:val="18"/>
                <w:szCs w:val="18"/>
              </w:rPr>
              <w:t>每个通道可单独操作，无批量关联，随时可以使用</w:t>
            </w:r>
            <w:r>
              <w:rPr>
                <w:rFonts w:hint="eastAsia" w:asciiTheme="minorEastAsia" w:hAnsiTheme="minorEastAsia" w:eastAsiaTheme="minorEastAsia" w:cstheme="minorEastAsia"/>
                <w:b w:val="0"/>
                <w:bCs w:val="0"/>
                <w:spacing w:val="8"/>
                <w:sz w:val="18"/>
                <w:szCs w:val="18"/>
              </w:rPr>
              <w:t xml:space="preserve"> </w:t>
            </w:r>
            <w:r>
              <w:rPr>
                <w:rFonts w:hint="eastAsia" w:asciiTheme="minorEastAsia" w:hAnsiTheme="minorEastAsia" w:eastAsiaTheme="minorEastAsia" w:cstheme="minorEastAsia"/>
                <w:b w:val="0"/>
                <w:bCs w:val="0"/>
                <w:sz w:val="18"/>
                <w:szCs w:val="18"/>
              </w:rPr>
              <w:t>无检测任务的通道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pacing w:val="1"/>
                <w:sz w:val="18"/>
                <w:szCs w:val="18"/>
              </w:rPr>
              <w:t>试剂耗材无需冷冻保存，随拿随用</w:t>
            </w:r>
            <w:r>
              <w:rPr>
                <w:rFonts w:hint="eastAsia" w:asciiTheme="minorEastAsia" w:hAnsiTheme="minorEastAsia" w:eastAsiaTheme="minorEastAsia" w:cstheme="minorEastAsia"/>
                <w:b w:val="0"/>
                <w:bCs w:val="0"/>
                <w:spacing w:val="1"/>
                <w:sz w:val="18"/>
                <w:szCs w:val="18"/>
                <w:lang w:val="en-US" w:eastAsia="zh-CN"/>
              </w:rPr>
              <w:t>,</w:t>
            </w:r>
            <w:r>
              <w:rPr>
                <w:rFonts w:hint="eastAsia" w:asciiTheme="minorEastAsia" w:hAnsiTheme="minorEastAsia" w:eastAsiaTheme="minorEastAsia" w:cstheme="minorEastAsia"/>
                <w:b w:val="0"/>
                <w:bCs w:val="0"/>
                <w:spacing w:val="1"/>
                <w:sz w:val="18"/>
                <w:szCs w:val="18"/>
              </w:rPr>
              <w:t>冷藏保存，无需恢复室温即拿即用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A2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5BD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7279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2"/>
                <w:sz w:val="18"/>
                <w:szCs w:val="18"/>
              </w:rPr>
              <w:t>磁珠法核酸提取</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pacing w:val="-1"/>
                <w:sz w:val="18"/>
                <w:szCs w:val="18"/>
              </w:rPr>
              <w:t>采用经典磁珠法可靠核酸提取方式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12DE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EF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B06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2502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8"/>
                <w:sz w:val="18"/>
                <w:szCs w:val="18"/>
              </w:rPr>
              <w:t>全封闭的试剂，集合全部功能，提升生物安</w:t>
            </w:r>
            <w:r>
              <w:rPr>
                <w:rFonts w:hint="eastAsia" w:asciiTheme="minorEastAsia" w:hAnsiTheme="minorEastAsia" w:eastAsiaTheme="minorEastAsia" w:cstheme="minorEastAsia"/>
                <w:b w:val="0"/>
                <w:bCs w:val="0"/>
                <w:spacing w:val="-3"/>
                <w:sz w:val="18"/>
                <w:szCs w:val="18"/>
              </w:rPr>
              <w:t>全性</w:t>
            </w:r>
            <w:r>
              <w:rPr>
                <w:rFonts w:hint="eastAsia" w:asciiTheme="minorEastAsia" w:hAnsiTheme="minorEastAsia" w:eastAsiaTheme="minorEastAsia" w:cstheme="minorEastAsia"/>
                <w:b w:val="0"/>
                <w:bCs w:val="0"/>
                <w:spacing w:val="-3"/>
                <w:sz w:val="18"/>
                <w:szCs w:val="18"/>
                <w:lang w:val="en-US" w:eastAsia="zh-CN"/>
              </w:rPr>
              <w:t>,</w:t>
            </w:r>
            <w:r>
              <w:rPr>
                <w:rFonts w:hint="eastAsia" w:asciiTheme="minorEastAsia" w:hAnsiTheme="minorEastAsia" w:eastAsiaTheme="minorEastAsia" w:cstheme="minorEastAsia"/>
                <w:b w:val="0"/>
                <w:bCs w:val="0"/>
                <w:sz w:val="18"/>
                <w:szCs w:val="18"/>
              </w:rPr>
              <w:t>一体式完成磁珠核酸、扩增，提高安全性</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C790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3A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5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6A18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pacing w:val="2"/>
                <w:sz w:val="18"/>
                <w:szCs w:val="18"/>
              </w:rPr>
              <w:t>多种项目扩增检测</w:t>
            </w:r>
            <w:r>
              <w:rPr>
                <w:rFonts w:hint="eastAsia" w:asciiTheme="minorEastAsia" w:hAnsiTheme="minorEastAsia" w:eastAsiaTheme="minorEastAsia" w:cstheme="minorEastAsia"/>
                <w:b w:val="0"/>
                <w:bCs w:val="0"/>
                <w:spacing w:val="2"/>
                <w:sz w:val="18"/>
                <w:szCs w:val="18"/>
                <w:lang w:val="en-US" w:eastAsia="zh-CN"/>
              </w:rPr>
              <w:t>,</w:t>
            </w:r>
            <w:r>
              <w:rPr>
                <w:rFonts w:hint="eastAsia" w:asciiTheme="minorEastAsia" w:hAnsiTheme="minorEastAsia" w:eastAsiaTheme="minorEastAsia" w:cstheme="minorEastAsia"/>
                <w:b w:val="0"/>
                <w:bCs w:val="0"/>
                <w:sz w:val="18"/>
                <w:szCs w:val="18"/>
              </w:rPr>
              <w:t>呼吸道、生殖道、结核等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756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30C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085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47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1AA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color w:val="000000" w:themeColor="text1"/>
                <w:lang w:val="en-US" w:eastAsia="zh-CN"/>
                <w14:textFill>
                  <w14:solidFill>
                    <w14:schemeClr w14:val="tx1"/>
                  </w14:solidFill>
                </w14:textFill>
              </w:rPr>
              <w:t>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5320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核酸扩增检测分析仪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4BEC549">
            <w:pPr>
              <w:pStyle w:val="23"/>
              <w:spacing w:before="105" w:line="220" w:lineRule="auto"/>
              <w:ind w:left="30" w:leftChars="0"/>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pacing w:val="5"/>
                <w:sz w:val="18"/>
                <w:szCs w:val="18"/>
              </w:rPr>
              <w:t>电源线</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D8450CA">
            <w:pPr>
              <w:pStyle w:val="23"/>
              <w:spacing w:before="155" w:line="219"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USB数据连接线</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3B53909">
            <w:pPr>
              <w:pStyle w:val="23"/>
              <w:spacing w:before="156" w:line="219" w:lineRule="auto"/>
              <w:ind w:left="30" w:leftChars="0"/>
              <w:rPr>
                <w:rFonts w:hint="eastAsia" w:asciiTheme="minorEastAsia" w:hAnsiTheme="minorEastAsia" w:eastAsiaTheme="minorEastAsia" w:cstheme="minorEastAsia"/>
                <w:b w:val="0"/>
                <w:bCs w:val="0"/>
                <w:color w:val="222222"/>
                <w:kern w:val="2"/>
                <w:sz w:val="18"/>
                <w:szCs w:val="18"/>
                <w:shd w:val="clear" w:color="auto" w:fill="F5F5F5"/>
                <w:lang w:val="en-US" w:eastAsia="zh-CN" w:bidi="ar-SA"/>
              </w:rPr>
            </w:pPr>
            <w:r>
              <w:rPr>
                <w:rFonts w:hint="eastAsia" w:asciiTheme="minorEastAsia" w:hAnsiTheme="minorEastAsia" w:eastAsiaTheme="minorEastAsia" w:cstheme="minorEastAsia"/>
                <w:spacing w:val="45"/>
                <w:sz w:val="18"/>
                <w:szCs w:val="18"/>
                <w:lang w:val="en-US" w:eastAsia="zh-CN"/>
              </w:rPr>
              <w:t>熔断丝</w:t>
            </w:r>
            <w:r>
              <w:rPr>
                <w:rFonts w:hint="eastAsia" w:asciiTheme="minorEastAsia" w:hAnsiTheme="minorEastAsia" w:eastAsiaTheme="minorEastAsia" w:cstheme="minorEastAsia"/>
                <w:spacing w:val="45"/>
                <w:sz w:val="18"/>
                <w:szCs w:val="18"/>
              </w:rPr>
              <w:t>5*20</w:t>
            </w:r>
            <w:r>
              <w:rPr>
                <w:rFonts w:hint="eastAsia" w:asciiTheme="minorEastAsia" w:hAnsiTheme="minorEastAsia" w:eastAsiaTheme="minorEastAsia" w:cstheme="minorEastAsia"/>
                <w:sz w:val="18"/>
                <w:szCs w:val="18"/>
              </w:rPr>
              <w:t>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0A7F608">
            <w:pPr>
              <w:pStyle w:val="23"/>
              <w:spacing w:before="123" w:line="227"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U盘</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3.6</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3B72520">
            <w:pPr>
              <w:pStyle w:val="23"/>
              <w:spacing w:before="134" w:line="219"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4"/>
                <w:sz w:val="18"/>
                <w:szCs w:val="18"/>
              </w:rPr>
              <w:t>说明书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3.7</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5E5F389">
            <w:pPr>
              <w:pStyle w:val="23"/>
              <w:spacing w:before="125" w:line="218" w:lineRule="auto"/>
              <w:ind w:left="30" w:leftChars="0"/>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1"/>
                <w:sz w:val="18"/>
                <w:szCs w:val="18"/>
              </w:rPr>
              <w:t>出厂检验报告单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3.8</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62FFFFE">
            <w:pPr>
              <w:pStyle w:val="23"/>
              <w:spacing w:before="137" w:line="219" w:lineRule="auto"/>
              <w:ind w:left="30" w:leftChars="0"/>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合格证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35E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42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F85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3.9</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1D83137">
            <w:pPr>
              <w:pStyle w:val="23"/>
              <w:spacing w:before="158" w:line="219" w:lineRule="auto"/>
              <w:ind w:left="30" w:leftChars="0"/>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保修证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38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AA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74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highlight w:val="none"/>
                <w:lang w:val="en-US" w:eastAsia="zh-CN"/>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AC96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2"/>
                <w:sz w:val="18"/>
                <w:szCs w:val="18"/>
              </w:rPr>
              <w:t>装箱单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ED0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color w:val="000000" w:themeColor="text1"/>
                <w:spacing w:val="3"/>
                <w:position w:val="-3"/>
                <w:sz w:val="18"/>
                <w:szCs w:val="18"/>
                <w:lang w:val="en-US" w:eastAsia="zh-CN"/>
                <w14:textFill>
                  <w14:solidFill>
                    <w14:schemeClr w14:val="tx1"/>
                  </w14:solidFill>
                </w14:textFill>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jc w:val="left"/>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检测原理：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基于荧光聚合酶链反应原理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检测通量：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≥16</w:t>
            </w: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可适用多种样本类型</w:t>
            </w:r>
          </w:p>
        </w:tc>
        <w:tc>
          <w:tcPr>
            <w:tcW w:w="4178" w:type="dxa"/>
            <w:tcBorders>
              <w:top w:val="single" w:color="auto" w:sz="4" w:space="0"/>
              <w:left w:val="single" w:color="auto" w:sz="4" w:space="0"/>
              <w:bottom w:val="single" w:color="auto" w:sz="4" w:space="0"/>
              <w:right w:val="single" w:color="auto" w:sz="4" w:space="0"/>
            </w:tcBorders>
            <w:noWrap/>
            <w:vAlign w:val="center"/>
          </w:tcPr>
          <w:p w14:paraId="3EEF4755">
            <w:pPr>
              <w:pStyle w:val="23"/>
              <w:spacing w:before="62" w:line="220"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咽拭子、痰液、生殖道拭子、</w:t>
            </w:r>
            <w:r>
              <w:rPr>
                <w:rFonts w:hint="eastAsia" w:asciiTheme="minorEastAsia" w:hAnsiTheme="minorEastAsia" w:eastAsiaTheme="minorEastAsia" w:cstheme="minorEastAsia"/>
                <w:spacing w:val="13"/>
                <w:sz w:val="18"/>
                <w:szCs w:val="18"/>
              </w:rPr>
              <w:t>尿液</w:t>
            </w: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检测模式：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7E116295">
            <w:pPr>
              <w:pStyle w:val="23"/>
              <w:spacing w:before="62" w:line="219" w:lineRule="auto"/>
              <w:ind w:left="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磁珠法核酸提取、扩增检测均在同一封闭试剂内完成；原始样本加样后上机至结果报告</w:t>
            </w:r>
            <w:r>
              <w:rPr>
                <w:rFonts w:hint="eastAsia" w:asciiTheme="minorEastAsia" w:hAnsiTheme="minorEastAsia" w:eastAsiaTheme="minorEastAsia" w:cstheme="minorEastAsia"/>
                <w:sz w:val="18"/>
                <w:szCs w:val="18"/>
              </w:rPr>
              <w:t>过程，无需任何手工操作。</w:t>
            </w: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检测时间：</w:t>
            </w: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视检测项目而定，呼吸道项目</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3"/>
                <w:sz w:val="18"/>
                <w:szCs w:val="18"/>
              </w:rPr>
              <w:t>≤30分钟</w:t>
            </w: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z w:val="18"/>
                <w:szCs w:val="18"/>
              </w:rPr>
              <w:t>检测模块：</w:t>
            </w: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每个检测通道独立运行，可实</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现来样即测，不受批次影响，</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1"/>
                <w:sz w:val="18"/>
                <w:szCs w:val="18"/>
              </w:rPr>
              <w:t>运行中可随时插入检测任务。</w:t>
            </w: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r w14:paraId="127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7E213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172E9A86">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核酸提取方式</w:t>
            </w:r>
            <w:r>
              <w:rPr>
                <w:rFonts w:hint="eastAsia" w:asciiTheme="minorEastAsia" w:hAnsiTheme="minorEastAsia" w:eastAsiaTheme="minorEastAsia" w:cstheme="minorEastAsia"/>
                <w:spacing w:val="-2"/>
                <w:sz w:val="18"/>
                <w:szCs w:val="18"/>
                <w:lang w:eastAsia="zh-CN"/>
              </w:rPr>
              <w:t>：</w:t>
            </w:r>
          </w:p>
        </w:tc>
        <w:tc>
          <w:tcPr>
            <w:tcW w:w="4178" w:type="dxa"/>
            <w:tcBorders>
              <w:top w:val="single" w:color="auto" w:sz="4" w:space="0"/>
              <w:left w:val="single" w:color="auto" w:sz="4" w:space="0"/>
              <w:bottom w:val="single" w:color="auto" w:sz="4" w:space="0"/>
              <w:right w:val="single" w:color="auto" w:sz="4" w:space="0"/>
            </w:tcBorders>
            <w:noWrap/>
            <w:vAlign w:val="center"/>
          </w:tcPr>
          <w:p w14:paraId="252620FD">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仪器完成离心柱或磁珠法提</w:t>
            </w:r>
            <w:r>
              <w:rPr>
                <w:rFonts w:hint="eastAsia" w:asciiTheme="minorEastAsia" w:hAnsiTheme="minorEastAsia" w:eastAsiaTheme="minorEastAsia" w:cstheme="minorEastAsia"/>
                <w:sz w:val="18"/>
                <w:szCs w:val="18"/>
              </w:rPr>
              <w:t>取</w:t>
            </w:r>
          </w:p>
        </w:tc>
        <w:tc>
          <w:tcPr>
            <w:tcW w:w="1556" w:type="dxa"/>
            <w:tcBorders>
              <w:top w:val="single" w:color="auto" w:sz="4" w:space="0"/>
              <w:left w:val="single" w:color="auto" w:sz="4" w:space="0"/>
              <w:bottom w:val="single" w:color="auto" w:sz="4" w:space="0"/>
              <w:right w:val="single" w:color="auto" w:sz="4" w:space="0"/>
            </w:tcBorders>
            <w:noWrap/>
            <w:vAlign w:val="center"/>
          </w:tcPr>
          <w:p w14:paraId="200477D7">
            <w:pPr>
              <w:jc w:val="center"/>
              <w:rPr>
                <w:rFonts w:hint="eastAsia" w:asciiTheme="minorEastAsia" w:hAnsiTheme="minorEastAsia" w:eastAsiaTheme="minorEastAsia" w:cstheme="minorEastAsia"/>
                <w:sz w:val="18"/>
                <w:szCs w:val="18"/>
              </w:rPr>
            </w:pPr>
          </w:p>
        </w:tc>
      </w:tr>
      <w:tr w14:paraId="0300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215C6C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721777C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不同通道可同时开展不同项目检测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398F9F04">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24432BE">
            <w:pPr>
              <w:jc w:val="center"/>
              <w:rPr>
                <w:rFonts w:hint="eastAsia" w:asciiTheme="minorEastAsia" w:hAnsiTheme="minorEastAsia" w:eastAsiaTheme="minorEastAsia" w:cstheme="minorEastAsia"/>
                <w:sz w:val="18"/>
                <w:szCs w:val="18"/>
              </w:rPr>
            </w:pPr>
          </w:p>
        </w:tc>
      </w:tr>
      <w:tr w14:paraId="093B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E7F16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35E71A0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配套试剂</w:t>
            </w:r>
          </w:p>
        </w:tc>
        <w:tc>
          <w:tcPr>
            <w:tcW w:w="4178" w:type="dxa"/>
            <w:tcBorders>
              <w:top w:val="single" w:color="auto" w:sz="4" w:space="0"/>
              <w:left w:val="single" w:color="auto" w:sz="4" w:space="0"/>
              <w:bottom w:val="single" w:color="auto" w:sz="4" w:space="0"/>
              <w:right w:val="single" w:color="auto" w:sz="4" w:space="0"/>
            </w:tcBorders>
            <w:noWrap/>
            <w:vAlign w:val="center"/>
          </w:tcPr>
          <w:p w14:paraId="49FB9CAC">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具有三类</w:t>
            </w:r>
            <w:r>
              <w:rPr>
                <w:rFonts w:hint="eastAsia" w:asciiTheme="minorEastAsia" w:hAnsiTheme="minorEastAsia" w:eastAsiaTheme="minorEastAsia" w:cstheme="minorEastAsia"/>
                <w:sz w:val="18"/>
                <w:szCs w:val="18"/>
              </w:rPr>
              <w:t>NMPA</w:t>
            </w:r>
            <w:r>
              <w:rPr>
                <w:rFonts w:hint="eastAsia" w:asciiTheme="minorEastAsia" w:hAnsiTheme="minorEastAsia" w:eastAsiaTheme="minorEastAsia" w:cstheme="minorEastAsia"/>
                <w:spacing w:val="1"/>
                <w:sz w:val="18"/>
                <w:szCs w:val="18"/>
              </w:rPr>
              <w:t>认证</w:t>
            </w:r>
          </w:p>
        </w:tc>
        <w:tc>
          <w:tcPr>
            <w:tcW w:w="1556" w:type="dxa"/>
            <w:tcBorders>
              <w:top w:val="single" w:color="auto" w:sz="4" w:space="0"/>
              <w:left w:val="single" w:color="auto" w:sz="4" w:space="0"/>
              <w:bottom w:val="single" w:color="auto" w:sz="4" w:space="0"/>
              <w:right w:val="single" w:color="auto" w:sz="4" w:space="0"/>
            </w:tcBorders>
            <w:noWrap/>
            <w:vAlign w:val="center"/>
          </w:tcPr>
          <w:p w14:paraId="27B300F3">
            <w:pPr>
              <w:jc w:val="center"/>
              <w:rPr>
                <w:rFonts w:hint="eastAsia" w:asciiTheme="minorEastAsia" w:hAnsiTheme="minorEastAsia" w:eastAsiaTheme="minorEastAsia" w:cstheme="minorEastAsia"/>
                <w:sz w:val="18"/>
                <w:szCs w:val="18"/>
              </w:rPr>
            </w:pPr>
          </w:p>
        </w:tc>
      </w:tr>
      <w:tr w14:paraId="665A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9325B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4CFB7D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配套试剂新冠甲乙流要内源性内标</w:t>
            </w:r>
          </w:p>
        </w:tc>
        <w:tc>
          <w:tcPr>
            <w:tcW w:w="4178" w:type="dxa"/>
            <w:tcBorders>
              <w:top w:val="single" w:color="auto" w:sz="4" w:space="0"/>
              <w:left w:val="single" w:color="auto" w:sz="4" w:space="0"/>
              <w:bottom w:val="single" w:color="auto" w:sz="4" w:space="0"/>
              <w:right w:val="single" w:color="auto" w:sz="4" w:space="0"/>
            </w:tcBorders>
            <w:noWrap/>
            <w:vAlign w:val="center"/>
          </w:tcPr>
          <w:p w14:paraId="00358DEA">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090704">
            <w:pPr>
              <w:jc w:val="center"/>
              <w:rPr>
                <w:rFonts w:hint="eastAsia" w:asciiTheme="minorEastAsia" w:hAnsiTheme="minorEastAsia" w:eastAsiaTheme="minorEastAsia" w:cstheme="minorEastAsia"/>
                <w:sz w:val="18"/>
                <w:szCs w:val="18"/>
              </w:rPr>
            </w:pPr>
          </w:p>
        </w:tc>
      </w:tr>
      <w:tr w14:paraId="6A31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50B7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3CB2D31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仪器及配套试剂具有三类NMPA认</w:t>
            </w:r>
            <w:r>
              <w:rPr>
                <w:rFonts w:hint="eastAsia" w:asciiTheme="minorEastAsia" w:hAnsiTheme="minorEastAsia" w:eastAsiaTheme="minorEastAsia" w:cstheme="minorEastAsia"/>
                <w:spacing w:val="-1"/>
                <w:sz w:val="18"/>
                <w:szCs w:val="18"/>
              </w:rPr>
              <w:t>证。</w:t>
            </w:r>
          </w:p>
        </w:tc>
        <w:tc>
          <w:tcPr>
            <w:tcW w:w="4178" w:type="dxa"/>
            <w:tcBorders>
              <w:top w:val="single" w:color="auto" w:sz="4" w:space="0"/>
              <w:left w:val="single" w:color="auto" w:sz="4" w:space="0"/>
              <w:bottom w:val="single" w:color="auto" w:sz="4" w:space="0"/>
              <w:right w:val="single" w:color="auto" w:sz="4" w:space="0"/>
            </w:tcBorders>
            <w:noWrap/>
            <w:vAlign w:val="center"/>
          </w:tcPr>
          <w:p w14:paraId="3247F828">
            <w:pPr>
              <w:jc w:val="center"/>
              <w:rPr>
                <w:rFonts w:hint="eastAsia" w:asciiTheme="minorEastAsia" w:hAnsiTheme="minorEastAsia" w:eastAsiaTheme="minorEastAsia" w:cstheme="minorEastAsia"/>
                <w:spacing w:val="-1"/>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377C74">
            <w:pPr>
              <w:jc w:val="center"/>
              <w:rPr>
                <w:rFonts w:hint="eastAsia" w:asciiTheme="minorEastAsia" w:hAnsiTheme="minorEastAsia" w:eastAsiaTheme="minorEastAsia" w:cstheme="minorEastAsia"/>
                <w:sz w:val="18"/>
                <w:szCs w:val="18"/>
              </w:rPr>
            </w:pPr>
          </w:p>
        </w:tc>
      </w:tr>
      <w:tr w14:paraId="25A4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B90D9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center"/>
          </w:tcPr>
          <w:p w14:paraId="78D67FA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结果判读及报告：</w:t>
            </w:r>
          </w:p>
        </w:tc>
        <w:tc>
          <w:tcPr>
            <w:tcW w:w="4178" w:type="dxa"/>
            <w:tcBorders>
              <w:top w:val="single" w:color="auto" w:sz="4" w:space="0"/>
              <w:left w:val="single" w:color="auto" w:sz="4" w:space="0"/>
              <w:bottom w:val="single" w:color="auto" w:sz="4" w:space="0"/>
              <w:right w:val="single" w:color="auto" w:sz="4" w:space="0"/>
            </w:tcBorders>
            <w:noWrap/>
            <w:vAlign w:val="center"/>
          </w:tcPr>
          <w:p w14:paraId="3B31B217">
            <w:pPr>
              <w:pStyle w:val="23"/>
              <w:spacing w:before="75" w:line="219" w:lineRule="auto"/>
              <w:ind w:left="75"/>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lang w:val="en-US" w:eastAsia="zh-CN"/>
              </w:rPr>
              <w:t>系</w:t>
            </w:r>
            <w:r>
              <w:rPr>
                <w:rFonts w:hint="eastAsia" w:asciiTheme="minorEastAsia" w:hAnsiTheme="minorEastAsia" w:eastAsiaTheme="minorEastAsia" w:cstheme="minorEastAsia"/>
                <w:spacing w:val="1"/>
                <w:sz w:val="18"/>
                <w:szCs w:val="18"/>
              </w:rPr>
              <w:t>统仪器可实时采集荧光信号</w:t>
            </w:r>
            <w:r>
              <w:rPr>
                <w:rFonts w:hint="eastAsia" w:asciiTheme="minorEastAsia" w:hAnsiTheme="minorEastAsia" w:eastAsiaTheme="minorEastAsia" w:cstheme="minorEastAsia"/>
                <w:sz w:val="18"/>
                <w:szCs w:val="18"/>
              </w:rPr>
              <w:t>并自动生成实时荧光曲线，通</w:t>
            </w:r>
            <w:r>
              <w:rPr>
                <w:rFonts w:hint="eastAsia" w:asciiTheme="minorEastAsia" w:hAnsiTheme="minorEastAsia" w:eastAsiaTheme="minorEastAsia" w:cstheme="minorEastAsia"/>
                <w:spacing w:val="-1"/>
                <w:sz w:val="18"/>
                <w:szCs w:val="18"/>
              </w:rPr>
              <w:t>过对荧光信号变化的分析实现</w:t>
            </w:r>
            <w:r>
              <w:rPr>
                <w:rFonts w:hint="eastAsia" w:asciiTheme="minorEastAsia" w:hAnsiTheme="minorEastAsia" w:eastAsiaTheme="minorEastAsia" w:cstheme="minorEastAsia"/>
                <w:sz w:val="18"/>
                <w:szCs w:val="18"/>
              </w:rPr>
              <w:t>自动判定并报告检测结果。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4371CFE0">
            <w:pPr>
              <w:jc w:val="center"/>
              <w:rPr>
                <w:rFonts w:hint="eastAsia" w:asciiTheme="minorEastAsia" w:hAnsiTheme="minorEastAsia" w:eastAsiaTheme="minorEastAsia" w:cstheme="minorEastAsia"/>
                <w:sz w:val="18"/>
                <w:szCs w:val="18"/>
              </w:rPr>
            </w:pPr>
          </w:p>
        </w:tc>
      </w:tr>
      <w:tr w14:paraId="257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0E14B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center"/>
          </w:tcPr>
          <w:p w14:paraId="59FAA83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试剂预分装、无需配液</w:t>
            </w:r>
          </w:p>
        </w:tc>
        <w:tc>
          <w:tcPr>
            <w:tcW w:w="4178" w:type="dxa"/>
            <w:tcBorders>
              <w:top w:val="single" w:color="auto" w:sz="4" w:space="0"/>
              <w:left w:val="single" w:color="auto" w:sz="4" w:space="0"/>
              <w:bottom w:val="single" w:color="auto" w:sz="4" w:space="0"/>
              <w:right w:val="single" w:color="auto" w:sz="4" w:space="0"/>
            </w:tcBorders>
            <w:noWrap/>
            <w:vAlign w:val="center"/>
          </w:tcPr>
          <w:p w14:paraId="53383A5F">
            <w:pPr>
              <w:pStyle w:val="23"/>
              <w:spacing w:before="77" w:line="219" w:lineRule="auto"/>
              <w:ind w:left="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内含磁珠法提取。检测过程中</w:t>
            </w:r>
            <w:r>
              <w:rPr>
                <w:rFonts w:hint="eastAsia" w:asciiTheme="minorEastAsia" w:hAnsiTheme="minorEastAsia" w:eastAsiaTheme="minorEastAsia" w:cstheme="minorEastAsia"/>
                <w:spacing w:val="-1"/>
                <w:sz w:val="18"/>
                <w:szCs w:val="18"/>
              </w:rPr>
              <w:t>不涉及试剂管外液体转移过程，液体不与空气接触，避免</w:t>
            </w:r>
          </w:p>
          <w:p w14:paraId="63433EF0">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2"/>
                <w:sz w:val="18"/>
                <w:szCs w:val="18"/>
              </w:rPr>
              <w:t>交叉污染</w:t>
            </w:r>
          </w:p>
        </w:tc>
        <w:tc>
          <w:tcPr>
            <w:tcW w:w="1556" w:type="dxa"/>
            <w:tcBorders>
              <w:top w:val="single" w:color="auto" w:sz="4" w:space="0"/>
              <w:left w:val="single" w:color="auto" w:sz="4" w:space="0"/>
              <w:bottom w:val="single" w:color="auto" w:sz="4" w:space="0"/>
              <w:right w:val="single" w:color="auto" w:sz="4" w:space="0"/>
            </w:tcBorders>
            <w:noWrap/>
            <w:vAlign w:val="center"/>
          </w:tcPr>
          <w:p w14:paraId="098F363A">
            <w:pPr>
              <w:jc w:val="center"/>
              <w:rPr>
                <w:rFonts w:hint="eastAsia" w:asciiTheme="minorEastAsia" w:hAnsiTheme="minorEastAsia" w:eastAsiaTheme="minorEastAsia" w:cstheme="minorEastAsia"/>
                <w:sz w:val="18"/>
                <w:szCs w:val="18"/>
              </w:rPr>
            </w:pPr>
          </w:p>
        </w:tc>
      </w:tr>
      <w:tr w14:paraId="3A01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C80D3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center"/>
          </w:tcPr>
          <w:p w14:paraId="777D5C21">
            <w:pPr>
              <w:jc w:val="center"/>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仪器具有磁珠法提取功能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7D5C458">
            <w:pPr>
              <w:jc w:val="both"/>
              <w:rPr>
                <w:rFonts w:hint="eastAsia" w:asciiTheme="minorEastAsia" w:hAnsiTheme="minorEastAsia" w:eastAsiaTheme="minorEastAsia" w:cstheme="minorEastAsia"/>
                <w:spacing w:val="2"/>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91474C">
            <w:pPr>
              <w:jc w:val="center"/>
              <w:rPr>
                <w:rFonts w:hint="eastAsia" w:asciiTheme="minorEastAsia" w:hAnsiTheme="minorEastAsia" w:eastAsiaTheme="minorEastAsia" w:cstheme="minorEastAsia"/>
                <w:sz w:val="18"/>
                <w:szCs w:val="18"/>
              </w:rPr>
            </w:pPr>
          </w:p>
        </w:tc>
      </w:tr>
    </w:tbl>
    <w:p w14:paraId="63790527">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73266DCF">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全自动化学发光免疫分析仪设备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255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D4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188E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设备名称：全自动化学发光免疫分析仪</w:t>
            </w:r>
          </w:p>
        </w:tc>
      </w:tr>
      <w:tr w14:paraId="410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3D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74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D4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42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6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CEAB3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pacing w:val="5"/>
              </w:rPr>
              <w:t>测试速度：单模块≥600个测试/小时；</w:t>
            </w:r>
          </w:p>
        </w:tc>
        <w:tc>
          <w:tcPr>
            <w:tcW w:w="3307" w:type="dxa"/>
            <w:tcBorders>
              <w:top w:val="single" w:color="auto" w:sz="4" w:space="0"/>
              <w:left w:val="single" w:color="auto" w:sz="4" w:space="0"/>
              <w:right w:val="single" w:color="auto" w:sz="4" w:space="0"/>
            </w:tcBorders>
            <w:shd w:val="clear" w:color="auto" w:fill="auto"/>
            <w:noWrap w:val="0"/>
            <w:vAlign w:val="top"/>
          </w:tcPr>
          <w:p w14:paraId="599D4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5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4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74089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auto"/>
                <w:kern w:val="2"/>
                <w:sz w:val="18"/>
                <w:szCs w:val="18"/>
                <w:lang w:val="en-US" w:eastAsia="zh-CN" w:bidi="ar-SA"/>
              </w:rPr>
            </w:pPr>
            <w:r>
              <w:rPr>
                <w:spacing w:val="1"/>
              </w:rPr>
              <w:t>第一份结果时间：≥15分钟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533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E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27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1A48FE">
            <w:pPr>
              <w:pStyle w:val="20"/>
              <w:numPr>
                <w:ilvl w:val="0"/>
                <w:numId w:val="0"/>
              </w:numPr>
              <w:spacing w:line="360" w:lineRule="auto"/>
              <w:ind w:left="0" w:leftChars="0" w:firstLine="0" w:firstLineChars="0"/>
              <w:rPr>
                <w:spacing w:val="1"/>
              </w:rPr>
            </w:pPr>
            <w:r>
              <w:rPr>
                <w:spacing w:val="-1"/>
              </w:rPr>
              <w:t>试剂位≥50个，支持随时连续装载，替换</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040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353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38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09F3A4">
            <w:pPr>
              <w:pStyle w:val="20"/>
              <w:numPr>
                <w:ilvl w:val="0"/>
                <w:numId w:val="0"/>
              </w:numPr>
              <w:spacing w:line="360" w:lineRule="auto"/>
              <w:ind w:left="0" w:leftChars="0" w:firstLine="0" w:firstLineChars="0"/>
              <w:rPr>
                <w:spacing w:val="1"/>
              </w:rPr>
            </w:pPr>
            <w:r>
              <w:rPr>
                <w:spacing w:val="-1"/>
              </w:rPr>
              <w:t>采样针使用一次性吸头(TIP头)、避免加样污染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5EF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C31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5F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AC7872">
            <w:pPr>
              <w:pStyle w:val="20"/>
              <w:numPr>
                <w:ilvl w:val="0"/>
                <w:numId w:val="0"/>
              </w:numPr>
              <w:spacing w:line="360" w:lineRule="auto"/>
              <w:ind w:left="0" w:leftChars="0" w:firstLine="0" w:firstLineChars="0"/>
              <w:rPr>
                <w:spacing w:val="1"/>
              </w:rPr>
            </w:pPr>
            <w:r>
              <w:rPr>
                <w:spacing w:val="-1"/>
              </w:rPr>
              <w:t>携带污染率≤0.1ppm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7E17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B2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EA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6A70D3">
            <w:pPr>
              <w:pStyle w:val="20"/>
              <w:numPr>
                <w:ilvl w:val="0"/>
                <w:numId w:val="0"/>
              </w:numPr>
              <w:spacing w:line="360" w:lineRule="auto"/>
              <w:ind w:left="0" w:leftChars="0" w:firstLine="0" w:firstLineChars="0"/>
              <w:rPr>
                <w:spacing w:val="1"/>
              </w:rPr>
            </w:pPr>
            <w:r>
              <w:rPr>
                <w:spacing w:val="-1"/>
              </w:rPr>
              <w:t>剂配套校准品、质控，无需另购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F9C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8A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30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42D756">
            <w:pPr>
              <w:pStyle w:val="20"/>
              <w:numPr>
                <w:ilvl w:val="0"/>
                <w:numId w:val="0"/>
              </w:numPr>
              <w:spacing w:line="360" w:lineRule="auto"/>
              <w:ind w:left="0" w:leftChars="0" w:firstLine="0" w:firstLineChars="0"/>
              <w:rPr>
                <w:spacing w:val="1"/>
              </w:rPr>
            </w:pPr>
            <w:r>
              <w:t>剂仓采用RFID射频识别技术，插入即读取全部试剂盒信息</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6A50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36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08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BDC3">
            <w:pPr>
              <w:pStyle w:val="20"/>
              <w:numPr>
                <w:ilvl w:val="0"/>
                <w:numId w:val="0"/>
              </w:numPr>
              <w:spacing w:line="360" w:lineRule="auto"/>
              <w:ind w:left="0" w:leftChars="0" w:firstLine="0" w:firstLineChars="0"/>
              <w:rPr>
                <w:spacing w:val="1"/>
              </w:rPr>
            </w:pPr>
            <w:r>
              <w:rPr>
                <w:spacing w:val="-1"/>
              </w:rPr>
              <w:t>持全自动清洗液配制，浓缩清洗液可直接上机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79E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D2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A3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06E47A">
            <w:pPr>
              <w:pStyle w:val="20"/>
              <w:numPr>
                <w:ilvl w:val="0"/>
                <w:numId w:val="0"/>
              </w:numPr>
              <w:spacing w:line="360" w:lineRule="auto"/>
              <w:ind w:left="0" w:leftChars="0" w:firstLine="0" w:firstLineChars="0"/>
              <w:rPr>
                <w:spacing w:val="1"/>
              </w:rPr>
            </w:pPr>
            <w:r>
              <w:t>通讯模式：支持LIS双向通讯功能.免费连通LIS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8584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9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91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DA7092">
            <w:pPr>
              <w:pStyle w:val="20"/>
              <w:numPr>
                <w:ilvl w:val="0"/>
                <w:numId w:val="0"/>
              </w:numPr>
              <w:spacing w:line="360" w:lineRule="auto"/>
              <w:ind w:left="0" w:leftChars="0" w:firstLine="0" w:firstLineChars="0"/>
              <w:rPr>
                <w:spacing w:val="1"/>
              </w:rPr>
            </w:pPr>
            <w:r>
              <w:rPr>
                <w:spacing w:val="1"/>
              </w:rPr>
              <w:t>可检测</w:t>
            </w:r>
            <w:r>
              <w:t>EB</w:t>
            </w:r>
            <w:r>
              <w:rPr>
                <w:spacing w:val="1"/>
              </w:rPr>
              <w:t>病毒早期抗原、衣壳抗原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A8C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C7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61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2330E6">
            <w:pPr>
              <w:pStyle w:val="20"/>
              <w:numPr>
                <w:ilvl w:val="0"/>
                <w:numId w:val="0"/>
              </w:numPr>
              <w:spacing w:line="360" w:lineRule="auto"/>
              <w:ind w:left="0" w:leftChars="0" w:firstLine="0" w:firstLineChars="0"/>
              <w:rPr>
                <w:spacing w:val="1"/>
              </w:rPr>
            </w:pPr>
            <w:r>
              <w:rPr>
                <w:spacing w:val="-6"/>
              </w:rPr>
              <w:t>反应杯采用一次性单杯设计，提高利用率，搭配存储模块一次可装载反应杯≥3000</w:t>
            </w:r>
            <w:r>
              <w:rPr>
                <w:spacing w:val="1"/>
              </w:rPr>
              <w:t xml:space="preserve"> </w:t>
            </w:r>
            <w:r>
              <w:rPr>
                <w:spacing w:val="-1"/>
              </w:rPr>
              <w:t>个，支持连续装载，实时数量显示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40CA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52D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3C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DC1018">
            <w:pPr>
              <w:pStyle w:val="20"/>
              <w:numPr>
                <w:ilvl w:val="0"/>
                <w:numId w:val="0"/>
              </w:numPr>
              <w:spacing w:line="360" w:lineRule="auto"/>
              <w:ind w:left="0" w:leftChars="0" w:firstLine="0" w:firstLineChars="0"/>
              <w:rPr>
                <w:spacing w:val="1"/>
              </w:rPr>
            </w:pPr>
            <w:r>
              <w:rPr>
                <w:spacing w:val="-3"/>
              </w:rPr>
              <w:t>样本位：≥300个，测试过程中可连续装载、替换，急诊优先，具有自动重测功能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08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49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3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07D4">
            <w:pPr>
              <w:pStyle w:val="20"/>
              <w:numPr>
                <w:ilvl w:val="0"/>
                <w:numId w:val="0"/>
              </w:numPr>
              <w:spacing w:line="360" w:lineRule="auto"/>
              <w:ind w:left="0" w:leftChars="0" w:firstLine="0" w:firstLineChars="0"/>
              <w:rPr>
                <w:spacing w:val="1"/>
              </w:rPr>
            </w:pPr>
            <w:r>
              <w:rPr>
                <w:position w:val="4"/>
              </w:rPr>
              <w:t>可拓展性：可与同型号仪器互联，具备前处理功能</w:t>
            </w:r>
            <w:r>
              <w:rPr>
                <w:spacing w:val="37"/>
                <w:position w:val="4"/>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3B2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29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3A5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BDE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E6235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70A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E8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06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BF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21"/>
                <w:szCs w:val="21"/>
                <w:highlight w:val="none"/>
                <w:lang w:val="en-US" w:eastAsia="zh-CN"/>
              </w:rPr>
            </w:pPr>
            <w:r>
              <w:rPr>
                <w:spacing w:val="2"/>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33E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B7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90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7CA4C4">
            <w:pPr>
              <w:pStyle w:val="23"/>
              <w:spacing w:before="240" w:line="214" w:lineRule="auto"/>
              <w:ind w:left="1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病毒早期抗原</w:t>
            </w:r>
            <w:r>
              <w:rPr>
                <w:rFonts w:hint="eastAsia" w:asciiTheme="minorEastAsia" w:hAnsiTheme="minorEastAsia" w:eastAsiaTheme="minorEastAsia" w:cstheme="minorEastAsia"/>
                <w:sz w:val="18"/>
                <w:szCs w:val="18"/>
              </w:rPr>
              <w:t>IgG</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6BB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53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43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973AA8">
            <w:pPr>
              <w:pStyle w:val="23"/>
              <w:spacing w:before="221" w:line="214" w:lineRule="auto"/>
              <w:ind w:left="1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病毒早期抗原</w:t>
            </w:r>
            <w:r>
              <w:rPr>
                <w:rFonts w:hint="eastAsia" w:asciiTheme="minorEastAsia" w:hAnsiTheme="minorEastAsia" w:eastAsiaTheme="minorEastAsia" w:cstheme="minorEastAsia"/>
                <w:sz w:val="18"/>
                <w:szCs w:val="18"/>
              </w:rPr>
              <w:t>IgA</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9C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4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31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0CBBD">
            <w:pPr>
              <w:pStyle w:val="23"/>
              <w:spacing w:before="236"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IgG</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6F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7F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73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4825F7">
            <w:pPr>
              <w:pStyle w:val="23"/>
              <w:spacing w:before="231"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IgM</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800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15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8D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09D0AE">
            <w:pPr>
              <w:pStyle w:val="23"/>
              <w:spacing w:before="232" w:line="214" w:lineRule="auto"/>
              <w:ind w:left="40" w:leftChars="0"/>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sz w:val="18"/>
                <w:szCs w:val="18"/>
              </w:rPr>
              <w:t>EB</w:t>
            </w:r>
            <w:r>
              <w:rPr>
                <w:rFonts w:hint="eastAsia" w:asciiTheme="minorEastAsia" w:hAnsiTheme="minorEastAsia" w:eastAsiaTheme="minorEastAsia" w:cstheme="minorEastAsia"/>
                <w:spacing w:val="2"/>
                <w:sz w:val="18"/>
                <w:szCs w:val="18"/>
              </w:rPr>
              <w:t>病毒衣壳抗原</w:t>
            </w:r>
            <w:r>
              <w:rPr>
                <w:rFonts w:hint="eastAsia" w:asciiTheme="minorEastAsia" w:hAnsiTheme="minorEastAsia" w:eastAsiaTheme="minorEastAsia" w:cstheme="minorEastAsia"/>
                <w:sz w:val="18"/>
                <w:szCs w:val="18"/>
              </w:rPr>
              <w:t>IgA</w:t>
            </w:r>
            <w:r>
              <w:rPr>
                <w:rFonts w:hint="eastAsia" w:asciiTheme="minorEastAsia" w:hAnsiTheme="minorEastAsia" w:eastAsiaTheme="minorEastAsia" w:cstheme="minorEastAsia"/>
                <w:spacing w:val="2"/>
                <w:sz w:val="18"/>
                <w:szCs w:val="18"/>
              </w:rPr>
              <w:t>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1B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BE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EC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4700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84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193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F2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645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B0A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4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1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086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EB9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7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1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777E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2"/>
                <w:sz w:val="18"/>
                <w:szCs w:val="18"/>
              </w:rPr>
              <w:t>须配置</w:t>
            </w:r>
            <w:r>
              <w:rPr>
                <w:rFonts w:hint="eastAsia" w:asciiTheme="minorEastAsia" w:hAnsiTheme="minorEastAsia" w:eastAsiaTheme="minorEastAsia" w:cstheme="minorEastAsia"/>
                <w:spacing w:val="2"/>
                <w:sz w:val="18"/>
                <w:szCs w:val="18"/>
                <w:lang w:val="en-US" w:eastAsia="zh-CN"/>
              </w:rPr>
              <w:t>连接LIS的</w:t>
            </w:r>
            <w:r>
              <w:rPr>
                <w:rFonts w:hint="eastAsia" w:asciiTheme="minorEastAsia" w:hAnsiTheme="minorEastAsia" w:eastAsiaTheme="minorEastAsia" w:cstheme="minorEastAsia"/>
                <w:spacing w:val="2"/>
                <w:sz w:val="18"/>
                <w:szCs w:val="18"/>
              </w:rPr>
              <w:t>电脑(整套)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B678F">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0E0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ACA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7EEF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2F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3CFC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65C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BCE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76E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F3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C3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E11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ADB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79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4D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BD4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B4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3F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C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DB4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5C5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0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1B3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C4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845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0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394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2EB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CC3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F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B7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3C8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B9A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AB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0F7DC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92BB0E">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28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A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F897C">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E0293E">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552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A1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769AF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95EEC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0D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AC95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CEC0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D6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351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E8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ABDDB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D38A2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FF128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576D80">
            <w:pPr>
              <w:jc w:val="center"/>
              <w:rPr>
                <w:rFonts w:hint="eastAsia" w:asciiTheme="minorEastAsia" w:hAnsiTheme="minorEastAsia" w:eastAsiaTheme="minorEastAsia" w:cstheme="minorEastAsia"/>
                <w:sz w:val="18"/>
                <w:szCs w:val="18"/>
              </w:rPr>
            </w:pPr>
          </w:p>
        </w:tc>
      </w:tr>
      <w:tr w14:paraId="71D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E150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27014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3154A3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1920518">
            <w:pPr>
              <w:jc w:val="center"/>
              <w:rPr>
                <w:rFonts w:hint="eastAsia" w:asciiTheme="minorEastAsia" w:hAnsiTheme="minorEastAsia" w:eastAsiaTheme="minorEastAsia" w:cstheme="minorEastAsia"/>
                <w:sz w:val="18"/>
                <w:szCs w:val="18"/>
              </w:rPr>
            </w:pPr>
          </w:p>
        </w:tc>
      </w:tr>
      <w:tr w14:paraId="53A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BF5F0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8F786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07AE74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BBF3D">
            <w:pPr>
              <w:jc w:val="center"/>
              <w:rPr>
                <w:rFonts w:hint="eastAsia" w:asciiTheme="minorEastAsia" w:hAnsiTheme="minorEastAsia" w:eastAsiaTheme="minorEastAsia" w:cstheme="minorEastAsia"/>
                <w:sz w:val="18"/>
                <w:szCs w:val="18"/>
              </w:rPr>
            </w:pPr>
          </w:p>
        </w:tc>
      </w:tr>
      <w:tr w14:paraId="68EC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D49A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5A4DD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0347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87ADBC">
            <w:pPr>
              <w:jc w:val="center"/>
              <w:rPr>
                <w:rFonts w:hint="eastAsia" w:asciiTheme="minorEastAsia" w:hAnsiTheme="minorEastAsia" w:eastAsiaTheme="minorEastAsia" w:cstheme="minorEastAsia"/>
                <w:sz w:val="18"/>
                <w:szCs w:val="18"/>
              </w:rPr>
            </w:pPr>
          </w:p>
        </w:tc>
      </w:tr>
      <w:tr w14:paraId="4DA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4E35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4569B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61B47F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E6F4D0">
            <w:pPr>
              <w:jc w:val="center"/>
              <w:rPr>
                <w:rFonts w:hint="eastAsia" w:asciiTheme="minorEastAsia" w:hAnsiTheme="minorEastAsia" w:eastAsiaTheme="minorEastAsia" w:cstheme="minorEastAsia"/>
                <w:sz w:val="18"/>
                <w:szCs w:val="18"/>
              </w:rPr>
            </w:pPr>
          </w:p>
        </w:tc>
      </w:tr>
      <w:tr w14:paraId="302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F8CC78">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3703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55759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FD7483">
            <w:pPr>
              <w:jc w:val="center"/>
              <w:rPr>
                <w:rFonts w:hint="eastAsia" w:asciiTheme="minorEastAsia" w:hAnsiTheme="minorEastAsia" w:eastAsiaTheme="minorEastAsia" w:cstheme="minorEastAsia"/>
                <w:sz w:val="18"/>
                <w:szCs w:val="18"/>
              </w:rPr>
            </w:pPr>
          </w:p>
        </w:tc>
      </w:tr>
    </w:tbl>
    <w:p w14:paraId="7DF91EB4">
      <w:pPr>
        <w:jc w:val="center"/>
        <w:rPr>
          <w:rFonts w:hint="eastAsia" w:asciiTheme="minorEastAsia" w:hAnsiTheme="minorEastAsia" w:eastAsiaTheme="minorEastAsia" w:cstheme="minorEastAsia"/>
          <w:sz w:val="21"/>
          <w:szCs w:val="21"/>
        </w:rPr>
      </w:pPr>
    </w:p>
    <w:p w14:paraId="265FBEFD">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AE25995">
      <w:pPr>
        <w:spacing w:line="360" w:lineRule="auto"/>
        <w:jc w:val="center"/>
        <w:outlineLvl w:val="0"/>
        <w:rPr>
          <w:rFonts w:hint="eastAsia" w:ascii="宋体" w:hAnsi="宋体" w:cs="宋体"/>
          <w:b/>
          <w:bCs/>
          <w:color w:val="auto"/>
          <w:sz w:val="28"/>
          <w:szCs w:val="28"/>
          <w:lang w:val="en-US" w:eastAsia="zh-CN"/>
        </w:rPr>
      </w:pPr>
    </w:p>
    <w:p w14:paraId="473599C3">
      <w:pPr>
        <w:spacing w:line="360" w:lineRule="auto"/>
        <w:jc w:val="center"/>
        <w:outlineLvl w:val="0"/>
        <w:rPr>
          <w:rFonts w:hint="eastAsia" w:ascii="宋体" w:hAnsi="宋体" w:cs="宋体"/>
          <w:b/>
          <w:bCs/>
          <w:color w:val="auto"/>
          <w:sz w:val="28"/>
          <w:szCs w:val="28"/>
          <w:lang w:val="en-US" w:eastAsia="zh-CN"/>
        </w:rPr>
      </w:pPr>
    </w:p>
    <w:p w14:paraId="5B3AD550">
      <w:pPr>
        <w:spacing w:line="360" w:lineRule="auto"/>
        <w:jc w:val="center"/>
        <w:outlineLvl w:val="0"/>
        <w:rPr>
          <w:rFonts w:hint="eastAsia" w:ascii="宋体" w:hAnsi="宋体" w:cs="宋体"/>
          <w:b/>
          <w:bCs/>
          <w:color w:val="auto"/>
          <w:sz w:val="28"/>
          <w:szCs w:val="28"/>
          <w:lang w:val="en-US" w:eastAsia="zh-CN"/>
        </w:rPr>
      </w:pPr>
    </w:p>
    <w:p w14:paraId="1A959C0B">
      <w:pPr>
        <w:spacing w:line="360" w:lineRule="auto"/>
        <w:jc w:val="center"/>
        <w:outlineLvl w:val="0"/>
        <w:rPr>
          <w:rFonts w:hint="eastAsia" w:ascii="宋体" w:hAnsi="宋体" w:cs="宋体"/>
          <w:b/>
          <w:bCs/>
          <w:color w:val="auto"/>
          <w:sz w:val="28"/>
          <w:szCs w:val="28"/>
          <w:lang w:val="en-US" w:eastAsia="zh-CN"/>
        </w:rPr>
      </w:pPr>
    </w:p>
    <w:p w14:paraId="308472EB">
      <w:pPr>
        <w:spacing w:line="360" w:lineRule="auto"/>
        <w:jc w:val="center"/>
        <w:outlineLvl w:val="0"/>
        <w:rPr>
          <w:rFonts w:hint="eastAsia" w:ascii="宋体" w:hAnsi="宋体" w:cs="宋体"/>
          <w:b/>
          <w:bCs/>
          <w:color w:val="auto"/>
          <w:sz w:val="28"/>
          <w:szCs w:val="28"/>
          <w:lang w:val="en-US" w:eastAsia="zh-CN"/>
        </w:rPr>
      </w:pPr>
    </w:p>
    <w:p w14:paraId="22469B26">
      <w:pPr>
        <w:spacing w:line="360" w:lineRule="auto"/>
        <w:jc w:val="center"/>
        <w:outlineLvl w:val="0"/>
        <w:rPr>
          <w:rFonts w:hint="eastAsia" w:ascii="宋体" w:hAnsi="宋体" w:cs="宋体"/>
          <w:b/>
          <w:bCs/>
          <w:color w:val="auto"/>
          <w:sz w:val="28"/>
          <w:szCs w:val="28"/>
          <w:lang w:val="en-US" w:eastAsia="zh-CN"/>
        </w:rPr>
      </w:pPr>
    </w:p>
    <w:p w14:paraId="30AAA83C">
      <w:pPr>
        <w:spacing w:line="360" w:lineRule="auto"/>
        <w:jc w:val="center"/>
        <w:outlineLvl w:val="0"/>
        <w:rPr>
          <w:rFonts w:hint="eastAsia" w:ascii="宋体" w:hAnsi="宋体" w:cs="宋体"/>
          <w:b/>
          <w:bCs/>
          <w:color w:val="auto"/>
          <w:sz w:val="28"/>
          <w:szCs w:val="28"/>
          <w:lang w:val="en-US" w:eastAsia="zh-CN"/>
        </w:rPr>
      </w:pPr>
    </w:p>
    <w:p w14:paraId="08A9502B">
      <w:pPr>
        <w:spacing w:line="360" w:lineRule="auto"/>
        <w:jc w:val="center"/>
        <w:outlineLvl w:val="0"/>
        <w:rPr>
          <w:rFonts w:hint="eastAsia" w:ascii="宋体" w:hAnsi="宋体" w:cs="宋体"/>
          <w:b/>
          <w:bCs/>
          <w:color w:val="auto"/>
          <w:sz w:val="28"/>
          <w:szCs w:val="28"/>
          <w:lang w:val="en-US" w:eastAsia="zh-CN"/>
        </w:rPr>
      </w:pPr>
    </w:p>
    <w:p w14:paraId="2469EE1E">
      <w:pPr>
        <w:spacing w:line="360" w:lineRule="auto"/>
        <w:jc w:val="center"/>
        <w:outlineLvl w:val="0"/>
        <w:rPr>
          <w:rFonts w:hint="eastAsia" w:ascii="宋体" w:hAnsi="宋体" w:cs="宋体"/>
          <w:b/>
          <w:bCs/>
          <w:color w:val="auto"/>
          <w:sz w:val="28"/>
          <w:szCs w:val="28"/>
          <w:lang w:val="en-US" w:eastAsia="zh-CN"/>
        </w:rPr>
      </w:pPr>
    </w:p>
    <w:p w14:paraId="0022BB3E">
      <w:pPr>
        <w:spacing w:line="360" w:lineRule="auto"/>
        <w:jc w:val="center"/>
        <w:outlineLvl w:val="0"/>
        <w:rPr>
          <w:rFonts w:hint="eastAsia" w:ascii="宋体" w:hAnsi="宋体" w:cs="宋体"/>
          <w:b/>
          <w:bCs/>
          <w:color w:val="auto"/>
          <w:sz w:val="28"/>
          <w:szCs w:val="28"/>
          <w:lang w:val="en-US" w:eastAsia="zh-CN"/>
        </w:rPr>
      </w:pPr>
    </w:p>
    <w:p w14:paraId="5A27FAE5">
      <w:pPr>
        <w:spacing w:line="360" w:lineRule="auto"/>
        <w:jc w:val="center"/>
        <w:outlineLvl w:val="0"/>
        <w:rPr>
          <w:rFonts w:hint="eastAsia" w:ascii="宋体" w:hAnsi="宋体" w:cs="宋体"/>
          <w:b/>
          <w:bCs/>
          <w:color w:val="auto"/>
          <w:sz w:val="28"/>
          <w:szCs w:val="28"/>
          <w:lang w:val="en-US" w:eastAsia="zh-CN"/>
        </w:rPr>
      </w:pPr>
    </w:p>
    <w:p w14:paraId="52C7FAC1">
      <w:pPr>
        <w:spacing w:line="360" w:lineRule="auto"/>
        <w:jc w:val="center"/>
        <w:outlineLvl w:val="0"/>
        <w:rPr>
          <w:rFonts w:hint="eastAsia" w:ascii="宋体" w:hAnsi="宋体" w:cs="宋体"/>
          <w:b/>
          <w:bCs/>
          <w:color w:val="auto"/>
          <w:sz w:val="28"/>
          <w:szCs w:val="28"/>
          <w:lang w:val="en-US" w:eastAsia="zh-CN"/>
        </w:rPr>
      </w:pPr>
    </w:p>
    <w:p w14:paraId="0A8DBEB5">
      <w:pPr>
        <w:spacing w:line="360" w:lineRule="auto"/>
        <w:jc w:val="center"/>
        <w:outlineLvl w:val="0"/>
        <w:rPr>
          <w:rFonts w:hint="eastAsia" w:ascii="宋体" w:hAnsi="宋体" w:cs="宋体"/>
          <w:b/>
          <w:bCs/>
          <w:sz w:val="28"/>
          <w:szCs w:val="28"/>
          <w:lang w:val="en-US" w:eastAsia="zh-CN"/>
        </w:rPr>
      </w:pPr>
    </w:p>
    <w:p w14:paraId="1F4A2E9A">
      <w:pPr>
        <w:spacing w:line="360" w:lineRule="auto"/>
        <w:jc w:val="center"/>
        <w:outlineLvl w:val="0"/>
        <w:rPr>
          <w:rFonts w:hint="eastAsia" w:ascii="宋体" w:hAnsi="宋体" w:cs="宋体"/>
          <w:b/>
          <w:bCs/>
          <w:sz w:val="28"/>
          <w:szCs w:val="28"/>
          <w:lang w:val="en-US" w:eastAsia="zh-CN"/>
        </w:rPr>
      </w:pPr>
    </w:p>
    <w:p w14:paraId="1E068F55">
      <w:pPr>
        <w:spacing w:line="360" w:lineRule="auto"/>
        <w:jc w:val="center"/>
        <w:outlineLvl w:val="0"/>
        <w:rPr>
          <w:rFonts w:hint="eastAsia" w:ascii="宋体" w:hAnsi="宋体" w:cs="宋体"/>
          <w:b/>
          <w:bCs/>
          <w:sz w:val="28"/>
          <w:szCs w:val="28"/>
          <w:lang w:val="en-US" w:eastAsia="zh-CN"/>
        </w:rPr>
      </w:pPr>
    </w:p>
    <w:p w14:paraId="4D77653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全自动精液分析仪设备功能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AD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865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0395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设备名称：全自动精液分析仪</w:t>
            </w:r>
          </w:p>
        </w:tc>
      </w:tr>
      <w:tr w14:paraId="1FE0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4EC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AA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F14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A2E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3A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D38BF2">
            <w:pPr>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精子浓度检测：动计算单位体积内的精子数量。</w:t>
            </w:r>
          </w:p>
        </w:tc>
        <w:tc>
          <w:tcPr>
            <w:tcW w:w="3307" w:type="dxa"/>
            <w:tcBorders>
              <w:top w:val="single" w:color="auto" w:sz="4" w:space="0"/>
              <w:left w:val="single" w:color="auto" w:sz="4" w:space="0"/>
              <w:right w:val="single" w:color="auto" w:sz="4" w:space="0"/>
            </w:tcBorders>
            <w:shd w:val="clear" w:color="auto" w:fill="auto"/>
            <w:noWrap w:val="0"/>
            <w:vAlign w:val="top"/>
          </w:tcPr>
          <w:p w14:paraId="2097E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F9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6F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4D497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精子活力分析：</w:t>
            </w:r>
            <w:r>
              <w:rPr>
                <w:spacing w:val="-12"/>
                <w:sz w:val="18"/>
                <w:szCs w:val="18"/>
              </w:rPr>
              <w:t>分类统计前向运动、非前向运动、不动精子百</w:t>
            </w:r>
            <w:r>
              <w:rPr>
                <w:spacing w:val="13"/>
                <w:sz w:val="18"/>
                <w:szCs w:val="18"/>
              </w:rPr>
              <w:t xml:space="preserve"> </w:t>
            </w:r>
            <w:r>
              <w:rPr>
                <w:spacing w:val="-1"/>
                <w:sz w:val="18"/>
                <w:szCs w:val="18"/>
              </w:rPr>
              <w:t>分比。</w:t>
            </w:r>
          </w:p>
        </w:tc>
        <w:tc>
          <w:tcPr>
            <w:tcW w:w="3307" w:type="dxa"/>
            <w:tcBorders>
              <w:top w:val="single" w:color="auto" w:sz="4" w:space="0"/>
              <w:left w:val="single" w:color="auto" w:sz="4" w:space="0"/>
              <w:right w:val="single" w:color="auto" w:sz="4" w:space="0"/>
            </w:tcBorders>
            <w:shd w:val="clear" w:color="auto" w:fill="auto"/>
            <w:noWrap w:val="0"/>
            <w:vAlign w:val="top"/>
          </w:tcPr>
          <w:p w14:paraId="0FD8C8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6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DF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D8304">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运动参数测量：</w:t>
            </w:r>
            <w:r>
              <w:rPr>
                <w:spacing w:val="-11"/>
                <w:sz w:val="18"/>
                <w:szCs w:val="18"/>
              </w:rPr>
              <w:t>检测曲线速度、直线速度、平均路径速度、侧</w:t>
            </w:r>
            <w:r>
              <w:rPr>
                <w:spacing w:val="13"/>
                <w:sz w:val="18"/>
                <w:szCs w:val="18"/>
              </w:rPr>
              <w:t xml:space="preserve"> </w:t>
            </w:r>
            <w:r>
              <w:rPr>
                <w:spacing w:val="-1"/>
                <w:sz w:val="18"/>
                <w:szCs w:val="18"/>
              </w:rPr>
              <w:t>摆幅度、鞭打频率等多项动力学指标。</w:t>
            </w:r>
          </w:p>
        </w:tc>
        <w:tc>
          <w:tcPr>
            <w:tcW w:w="3307" w:type="dxa"/>
            <w:tcBorders>
              <w:top w:val="single" w:color="auto" w:sz="4" w:space="0"/>
              <w:left w:val="single" w:color="auto" w:sz="4" w:space="0"/>
              <w:right w:val="single" w:color="auto" w:sz="4" w:space="0"/>
            </w:tcBorders>
            <w:shd w:val="clear" w:color="auto" w:fill="auto"/>
            <w:noWrap w:val="0"/>
            <w:vAlign w:val="top"/>
          </w:tcPr>
          <w:p w14:paraId="29DA28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C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08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6B1C6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pacing w:val="-1"/>
                <w:sz w:val="18"/>
                <w:szCs w:val="18"/>
              </w:rPr>
              <w:t>形态学分析：</w:t>
            </w:r>
            <w:r>
              <w:rPr>
                <w:spacing w:val="-12"/>
                <w:sz w:val="18"/>
                <w:szCs w:val="18"/>
              </w:rPr>
              <w:t>识别正常与异常精子，分类统计头部、颈部、</w:t>
            </w:r>
            <w:r>
              <w:rPr>
                <w:spacing w:val="13"/>
                <w:sz w:val="18"/>
                <w:szCs w:val="18"/>
              </w:rPr>
              <w:t xml:space="preserve"> </w:t>
            </w:r>
            <w:r>
              <w:rPr>
                <w:spacing w:val="-4"/>
                <w:sz w:val="18"/>
                <w:szCs w:val="18"/>
              </w:rPr>
              <w:t>尾部缺陷。</w:t>
            </w:r>
          </w:p>
        </w:tc>
        <w:tc>
          <w:tcPr>
            <w:tcW w:w="3307" w:type="dxa"/>
            <w:tcBorders>
              <w:top w:val="single" w:color="auto" w:sz="4" w:space="0"/>
              <w:left w:val="single" w:color="auto" w:sz="4" w:space="0"/>
              <w:right w:val="single" w:color="auto" w:sz="4" w:space="0"/>
            </w:tcBorders>
            <w:shd w:val="clear" w:color="auto" w:fill="auto"/>
            <w:noWrap w:val="0"/>
            <w:vAlign w:val="top"/>
          </w:tcPr>
          <w:p w14:paraId="47CFB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F1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4113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视频录制与回放：</w:t>
            </w:r>
            <w:r>
              <w:rPr>
                <w:spacing w:val="-15"/>
                <w:sz w:val="18"/>
                <w:szCs w:val="18"/>
              </w:rPr>
              <w:t>可录制</w:t>
            </w:r>
            <w:r>
              <w:rPr>
                <w:spacing w:val="-14"/>
                <w:sz w:val="18"/>
                <w:szCs w:val="18"/>
              </w:rPr>
              <w:t>精子运动视频，支持离线分析与</w:t>
            </w:r>
            <w:r>
              <w:rPr>
                <w:spacing w:val="-11"/>
                <w:sz w:val="18"/>
                <w:szCs w:val="18"/>
              </w:rPr>
              <w:t>轨</w:t>
            </w:r>
            <w:r>
              <w:rPr>
                <w:spacing w:val="15"/>
                <w:sz w:val="18"/>
                <w:szCs w:val="18"/>
              </w:rPr>
              <w:t xml:space="preserve"> </w:t>
            </w:r>
            <w:r>
              <w:rPr>
                <w:spacing w:val="-1"/>
                <w:sz w:val="18"/>
                <w:szCs w:val="18"/>
              </w:rPr>
              <w:t>迹回放。</w:t>
            </w:r>
          </w:p>
        </w:tc>
        <w:tc>
          <w:tcPr>
            <w:tcW w:w="3307" w:type="dxa"/>
            <w:tcBorders>
              <w:top w:val="single" w:color="auto" w:sz="4" w:space="0"/>
              <w:left w:val="single" w:color="auto" w:sz="4" w:space="0"/>
              <w:right w:val="single" w:color="auto" w:sz="4" w:space="0"/>
            </w:tcBorders>
            <w:shd w:val="clear" w:color="auto" w:fill="auto"/>
            <w:noWrap w:val="0"/>
            <w:vAlign w:val="top"/>
          </w:tcPr>
          <w:p w14:paraId="73C5C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CD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0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152CE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双样本对比：支持样本A与样本B同步分析并对比数据。</w:t>
            </w:r>
          </w:p>
        </w:tc>
        <w:tc>
          <w:tcPr>
            <w:tcW w:w="3307" w:type="dxa"/>
            <w:tcBorders>
              <w:top w:val="single" w:color="auto" w:sz="4" w:space="0"/>
              <w:left w:val="single" w:color="auto" w:sz="4" w:space="0"/>
              <w:right w:val="single" w:color="auto" w:sz="4" w:space="0"/>
            </w:tcBorders>
            <w:shd w:val="clear" w:color="auto" w:fill="auto"/>
            <w:noWrap w:val="0"/>
            <w:vAlign w:val="top"/>
          </w:tcPr>
          <w:p w14:paraId="46D94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302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EA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8949D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质控功能：</w:t>
            </w:r>
            <w:r>
              <w:rPr>
                <w:spacing w:val="-12"/>
                <w:sz w:val="18"/>
                <w:szCs w:val="18"/>
              </w:rPr>
              <w:t>内置</w:t>
            </w:r>
            <w:r>
              <w:rPr>
                <w:spacing w:val="-11"/>
                <w:sz w:val="18"/>
                <w:szCs w:val="18"/>
              </w:rPr>
              <w:t>质控珠、外部质控、内部质控模块，支</w:t>
            </w:r>
            <w:r>
              <w:rPr>
                <w:spacing w:val="-9"/>
                <w:sz w:val="18"/>
                <w:szCs w:val="18"/>
              </w:rPr>
              <w:t>持</w:t>
            </w:r>
            <w:r>
              <w:rPr>
                <w:spacing w:val="13"/>
                <w:sz w:val="18"/>
                <w:szCs w:val="18"/>
              </w:rPr>
              <w:t xml:space="preserve"> </w:t>
            </w:r>
            <w:r>
              <w:rPr>
                <w:spacing w:val="3"/>
                <w:sz w:val="18"/>
                <w:szCs w:val="18"/>
              </w:rPr>
              <w:t>X-</w:t>
            </w:r>
            <w:r>
              <w:rPr>
                <w:sz w:val="18"/>
                <w:szCs w:val="18"/>
              </w:rPr>
              <w:t>Bar</w:t>
            </w:r>
            <w:r>
              <w:rPr>
                <w:spacing w:val="3"/>
                <w:sz w:val="18"/>
                <w:szCs w:val="18"/>
              </w:rPr>
              <w:t>图绘制</w:t>
            </w:r>
          </w:p>
        </w:tc>
        <w:tc>
          <w:tcPr>
            <w:tcW w:w="3307" w:type="dxa"/>
            <w:tcBorders>
              <w:top w:val="single" w:color="auto" w:sz="4" w:space="0"/>
              <w:left w:val="single" w:color="auto" w:sz="4" w:space="0"/>
              <w:right w:val="single" w:color="auto" w:sz="4" w:space="0"/>
            </w:tcBorders>
            <w:shd w:val="clear" w:color="auto" w:fill="auto"/>
            <w:noWrap w:val="0"/>
            <w:vAlign w:val="top"/>
          </w:tcPr>
          <w:p w14:paraId="4A468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B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60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33D96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病历管理：支持患者信息录入、存储、查询与删除。</w:t>
            </w:r>
          </w:p>
        </w:tc>
        <w:tc>
          <w:tcPr>
            <w:tcW w:w="3307" w:type="dxa"/>
            <w:tcBorders>
              <w:top w:val="single" w:color="auto" w:sz="4" w:space="0"/>
              <w:left w:val="single" w:color="auto" w:sz="4" w:space="0"/>
              <w:right w:val="single" w:color="auto" w:sz="4" w:space="0"/>
            </w:tcBorders>
            <w:shd w:val="clear" w:color="auto" w:fill="auto"/>
            <w:noWrap w:val="0"/>
            <w:vAlign w:val="top"/>
          </w:tcPr>
          <w:p w14:paraId="2C626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7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24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228072">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报告生成与打印：</w:t>
            </w:r>
            <w:r>
              <w:rPr>
                <w:spacing w:val="-11"/>
                <w:sz w:val="18"/>
                <w:szCs w:val="18"/>
              </w:rPr>
              <w:t>自动生成检验报告，支持多种报告格式导出为</w:t>
            </w:r>
            <w:r>
              <w:rPr>
                <w:spacing w:val="13"/>
                <w:sz w:val="18"/>
                <w:szCs w:val="18"/>
              </w:rPr>
              <w:t xml:space="preserve"> </w:t>
            </w:r>
            <w:r>
              <w:rPr>
                <w:spacing w:val="-1"/>
                <w:sz w:val="18"/>
                <w:szCs w:val="18"/>
              </w:rPr>
              <w:t>文件或图像。</w:t>
            </w:r>
          </w:p>
        </w:tc>
        <w:tc>
          <w:tcPr>
            <w:tcW w:w="3307" w:type="dxa"/>
            <w:tcBorders>
              <w:top w:val="single" w:color="auto" w:sz="4" w:space="0"/>
              <w:left w:val="single" w:color="auto" w:sz="4" w:space="0"/>
              <w:right w:val="single" w:color="auto" w:sz="4" w:space="0"/>
            </w:tcBorders>
            <w:shd w:val="clear" w:color="auto" w:fill="auto"/>
            <w:noWrap w:val="0"/>
            <w:vAlign w:val="top"/>
          </w:tcPr>
          <w:p w14:paraId="6906B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63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57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B14F9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系统标定：</w:t>
            </w:r>
            <w:r>
              <w:rPr>
                <w:spacing w:val="-1"/>
                <w:sz w:val="18"/>
                <w:szCs w:val="18"/>
              </w:rPr>
              <w:t>可对显微镜放大倍数进行标定，消除硬件误</w:t>
            </w:r>
            <w:r>
              <w:rPr>
                <w:spacing w:val="7"/>
                <w:sz w:val="18"/>
                <w:szCs w:val="18"/>
              </w:rPr>
              <w:t xml:space="preserve"> </w:t>
            </w:r>
            <w:r>
              <w:rPr>
                <w:spacing w:val="-1"/>
                <w:sz w:val="18"/>
                <w:szCs w:val="18"/>
              </w:rPr>
              <w:t>差。</w:t>
            </w:r>
          </w:p>
        </w:tc>
        <w:tc>
          <w:tcPr>
            <w:tcW w:w="3307" w:type="dxa"/>
            <w:tcBorders>
              <w:top w:val="single" w:color="auto" w:sz="4" w:space="0"/>
              <w:left w:val="single" w:color="auto" w:sz="4" w:space="0"/>
              <w:right w:val="single" w:color="auto" w:sz="4" w:space="0"/>
            </w:tcBorders>
            <w:shd w:val="clear" w:color="auto" w:fill="auto"/>
            <w:noWrap w:val="0"/>
            <w:vAlign w:val="top"/>
          </w:tcPr>
          <w:p w14:paraId="4048F3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DA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7B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A7C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16CD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25AB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E8E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F6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9C2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785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7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8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41A4F">
            <w:pPr>
              <w:pStyle w:val="23"/>
              <w:spacing w:before="89" w:line="219" w:lineRule="auto"/>
              <w:ind w:left="35"/>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生物显微镜</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三目生物显微镜</w:t>
            </w:r>
          </w:p>
          <w:p w14:paraId="024780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5"/>
                <w:sz w:val="18"/>
                <w:szCs w:val="18"/>
              </w:rPr>
              <w:t>10X</w:t>
            </w:r>
            <w:r>
              <w:rPr>
                <w:rFonts w:hint="eastAsia" w:asciiTheme="minorEastAsia" w:hAnsiTheme="minorEastAsia" w:eastAsiaTheme="minorEastAsia" w:cstheme="minorEastAsia"/>
                <w:spacing w:val="22"/>
                <w:sz w:val="18"/>
                <w:szCs w:val="18"/>
              </w:rPr>
              <w:t xml:space="preserve"> </w:t>
            </w:r>
            <w:r>
              <w:rPr>
                <w:rFonts w:hint="eastAsia" w:asciiTheme="minorEastAsia" w:hAnsiTheme="minorEastAsia" w:eastAsiaTheme="minorEastAsia" w:cstheme="minorEastAsia"/>
                <w:spacing w:val="-5"/>
                <w:sz w:val="18"/>
                <w:szCs w:val="18"/>
              </w:rPr>
              <w:t>20X</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5"/>
                <w:sz w:val="18"/>
                <w:szCs w:val="18"/>
              </w:rPr>
              <w:t>40X</w:t>
            </w:r>
            <w:r>
              <w:rPr>
                <w:rFonts w:hint="eastAsia" w:asciiTheme="minorEastAsia" w:hAnsiTheme="minorEastAsia" w:eastAsiaTheme="minorEastAsia" w:cstheme="minorEastAsia"/>
                <w:spacing w:val="35"/>
                <w:sz w:val="18"/>
                <w:szCs w:val="18"/>
              </w:rPr>
              <w:t xml:space="preserve"> </w:t>
            </w:r>
            <w:r>
              <w:rPr>
                <w:rFonts w:hint="eastAsia" w:asciiTheme="minorEastAsia" w:hAnsiTheme="minorEastAsia" w:eastAsiaTheme="minorEastAsia" w:cstheme="minorEastAsia"/>
                <w:spacing w:val="-5"/>
                <w:sz w:val="18"/>
                <w:szCs w:val="18"/>
              </w:rPr>
              <w:t>100X</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F6145">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17C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D0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AC0B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pacing w:val="-2"/>
                <w:sz w:val="18"/>
                <w:szCs w:val="18"/>
              </w:rPr>
              <w:t>数字相机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7DC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039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3FB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D3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一体式电脑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485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79F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3E5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精子计数板</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红宝石10μm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994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8E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4FA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99F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5"/>
                <w:sz w:val="18"/>
                <w:szCs w:val="18"/>
                <w:lang w:val="en-US" w:eastAsia="zh-CN"/>
              </w:rPr>
            </w:pPr>
            <w:r>
              <w:rPr>
                <w:rFonts w:hint="eastAsia" w:asciiTheme="minorEastAsia" w:hAnsiTheme="minorEastAsia" w:eastAsiaTheme="minorEastAsia" w:cstheme="minorEastAsia"/>
                <w:spacing w:val="5"/>
                <w:sz w:val="18"/>
                <w:szCs w:val="18"/>
                <w:lang w:val="en-US" w:eastAsia="zh-CN"/>
              </w:rPr>
              <w:t>加</w:t>
            </w:r>
            <w:r>
              <w:rPr>
                <w:rFonts w:hint="eastAsia" w:asciiTheme="minorEastAsia" w:hAnsiTheme="minorEastAsia" w:eastAsiaTheme="minorEastAsia" w:cstheme="minorEastAsia"/>
                <w:spacing w:val="5"/>
                <w:sz w:val="18"/>
                <w:szCs w:val="18"/>
              </w:rPr>
              <w:t>密狗</w:t>
            </w:r>
            <w:r>
              <w:rPr>
                <w:rFonts w:hint="eastAsia" w:asciiTheme="minorEastAsia" w:hAnsiTheme="minorEastAsia" w:eastAsiaTheme="minorEastAsia" w:cstheme="minorEastAsia"/>
                <w:spacing w:val="5"/>
                <w:sz w:val="18"/>
                <w:szCs w:val="18"/>
                <w:lang w:eastAsia="zh-CN"/>
              </w:rPr>
              <w:t>：</w:t>
            </w:r>
            <w:r>
              <w:rPr>
                <w:rFonts w:hint="eastAsia" w:asciiTheme="minorEastAsia" w:hAnsiTheme="minorEastAsia" w:eastAsiaTheme="minorEastAsia" w:cstheme="minorEastAsia"/>
                <w:sz w:val="18"/>
                <w:szCs w:val="18"/>
              </w:rPr>
              <w:t>USB</w:t>
            </w:r>
            <w:r>
              <w:rPr>
                <w:rFonts w:hint="eastAsia" w:asciiTheme="minorEastAsia" w:hAnsiTheme="minorEastAsia" w:eastAsiaTheme="minorEastAsia" w:cstheme="minorEastAsia"/>
                <w:spacing w:val="10"/>
                <w:sz w:val="18"/>
                <w:szCs w:val="18"/>
              </w:rPr>
              <w:t>接口</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6EB1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5DA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FFD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C7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恒温控制器</w:t>
            </w:r>
            <w:r>
              <w:rPr>
                <w:rFonts w:hint="eastAsia" w:asciiTheme="minorEastAsia" w:hAnsiTheme="minorEastAsia" w:eastAsiaTheme="minorEastAsia" w:cstheme="minorEastAsia"/>
                <w:spacing w:val="8"/>
                <w:sz w:val="18"/>
                <w:szCs w:val="18"/>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285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BD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C32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173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EEF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61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2E3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12D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2DA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66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3B1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C64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F50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46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7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39BE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23E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4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AB3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77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A90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1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73C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0A9E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534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B87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CA8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848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3C9F89">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3C45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8D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B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45F82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2871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0D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0AD4DF">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3BD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B0E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0B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1D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38964B">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110137EC">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单一视野精子检测数量</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准确度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1E707D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5"/>
                <w:sz w:val="18"/>
                <w:szCs w:val="18"/>
              </w:rPr>
              <w:t>单一视野精子检测数量为0个～1000个</w:t>
            </w:r>
            <w:r>
              <w:rPr>
                <w:rFonts w:hint="eastAsia" w:asciiTheme="minorEastAsia" w:hAnsiTheme="minorEastAsia" w:eastAsiaTheme="minorEastAsia" w:cstheme="minorEastAsia"/>
                <w:spacing w:val="5"/>
                <w:sz w:val="18"/>
                <w:szCs w:val="18"/>
                <w:lang w:val="en-US" w:eastAsia="zh-CN"/>
              </w:rPr>
              <w:t>;</w:t>
            </w:r>
            <w:r>
              <w:rPr>
                <w:rFonts w:hint="eastAsia" w:asciiTheme="minorEastAsia" w:hAnsiTheme="minorEastAsia" w:eastAsiaTheme="minorEastAsia" w:cstheme="minorEastAsia"/>
                <w:spacing w:val="-3"/>
                <w:sz w:val="18"/>
                <w:szCs w:val="18"/>
              </w:rPr>
              <w:t>误差：0个，绝对偏差</w:t>
            </w:r>
            <w:r>
              <w:rPr>
                <w:rFonts w:hint="eastAsia" w:asciiTheme="minorEastAsia" w:hAnsiTheme="minorEastAsia" w:eastAsiaTheme="minorEastAsia" w:cstheme="minorEastAsia"/>
                <w:spacing w:val="-9"/>
                <w:sz w:val="18"/>
                <w:szCs w:val="18"/>
              </w:rPr>
              <w:t>±</w:t>
            </w:r>
            <w:r>
              <w:rPr>
                <w:rFonts w:hint="eastAsia" w:asciiTheme="minorEastAsia" w:hAnsiTheme="minorEastAsia" w:eastAsiaTheme="minorEastAsia" w:cstheme="minorEastAsia"/>
                <w:spacing w:val="-3"/>
                <w:sz w:val="18"/>
                <w:szCs w:val="18"/>
              </w:rPr>
              <w:t>1个；1个～1000个，</w:t>
            </w:r>
            <w:r>
              <w:rPr>
                <w:rFonts w:hint="eastAsia" w:asciiTheme="minorEastAsia" w:hAnsiTheme="minorEastAsia" w:eastAsiaTheme="minorEastAsia" w:cstheme="minorEastAsia"/>
                <w:spacing w:val="-3"/>
                <w:sz w:val="18"/>
                <w:szCs w:val="18"/>
                <w:lang w:val="en-US" w:eastAsia="zh-CN"/>
              </w:rPr>
              <w:t>相</w:t>
            </w:r>
            <w:r>
              <w:rPr>
                <w:rFonts w:hint="eastAsia" w:asciiTheme="minorEastAsia" w:hAnsiTheme="minorEastAsia" w:eastAsiaTheme="minorEastAsia" w:cstheme="minorEastAsia"/>
                <w:spacing w:val="-3"/>
                <w:sz w:val="18"/>
                <w:szCs w:val="18"/>
              </w:rPr>
              <w:t>对偏差：</w:t>
            </w:r>
            <w:r>
              <w:rPr>
                <w:rFonts w:hint="eastAsia" w:asciiTheme="minorEastAsia" w:hAnsiTheme="minorEastAsia" w:eastAsiaTheme="minorEastAsia" w:cstheme="minorEastAsia"/>
                <w:spacing w:val="-9"/>
                <w:sz w:val="18"/>
                <w:szCs w:val="18"/>
              </w:rPr>
              <w:t>±0.2%。</w:t>
            </w:r>
          </w:p>
        </w:tc>
        <w:tc>
          <w:tcPr>
            <w:tcW w:w="1556" w:type="dxa"/>
            <w:tcBorders>
              <w:top w:val="single" w:color="auto" w:sz="4" w:space="0"/>
              <w:left w:val="single" w:color="auto" w:sz="4" w:space="0"/>
              <w:bottom w:val="single" w:color="auto" w:sz="4" w:space="0"/>
              <w:right w:val="single" w:color="auto" w:sz="4" w:space="0"/>
            </w:tcBorders>
            <w:noWrap/>
            <w:vAlign w:val="center"/>
          </w:tcPr>
          <w:p w14:paraId="60750CED">
            <w:pPr>
              <w:jc w:val="center"/>
              <w:rPr>
                <w:rFonts w:hint="eastAsia" w:asciiTheme="minorEastAsia" w:hAnsiTheme="minorEastAsia" w:eastAsiaTheme="minorEastAsia" w:cstheme="minorEastAsia"/>
                <w:sz w:val="18"/>
                <w:szCs w:val="18"/>
              </w:rPr>
            </w:pPr>
          </w:p>
        </w:tc>
      </w:tr>
      <w:tr w14:paraId="4B6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3C9521">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626F37EB">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采集视野的数量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786B09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一次检测中，对同一样品可采集图样的视野的数量1</w:t>
            </w:r>
            <w:r>
              <w:rPr>
                <w:rFonts w:hint="eastAsia" w:asciiTheme="minorEastAsia" w:hAnsiTheme="minorEastAsia" w:eastAsiaTheme="minorEastAsia" w:cstheme="minorEastAsia"/>
                <w:spacing w:val="15"/>
                <w:sz w:val="18"/>
                <w:szCs w:val="18"/>
              </w:rPr>
              <w:t xml:space="preserve"> </w:t>
            </w:r>
            <w:r>
              <w:rPr>
                <w:rFonts w:hint="eastAsia" w:asciiTheme="minorEastAsia" w:hAnsiTheme="minorEastAsia" w:eastAsiaTheme="minorEastAsia" w:cstheme="minorEastAsia"/>
                <w:sz w:val="18"/>
                <w:szCs w:val="18"/>
              </w:rPr>
              <w:t>场～120场，任选。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0D5B0F33">
            <w:pPr>
              <w:jc w:val="center"/>
              <w:rPr>
                <w:rFonts w:hint="eastAsia" w:asciiTheme="minorEastAsia" w:hAnsiTheme="minorEastAsia" w:eastAsiaTheme="minorEastAsia" w:cstheme="minorEastAsia"/>
                <w:sz w:val="18"/>
                <w:szCs w:val="18"/>
              </w:rPr>
            </w:pPr>
          </w:p>
        </w:tc>
      </w:tr>
      <w:tr w14:paraId="1DE4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0C76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9C78E4">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对一个视野图像的计算</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5"/>
                <w:sz w:val="18"/>
                <w:szCs w:val="18"/>
              </w:rPr>
              <w:t>分析时间</w:t>
            </w:r>
          </w:p>
        </w:tc>
        <w:tc>
          <w:tcPr>
            <w:tcW w:w="4178" w:type="dxa"/>
            <w:tcBorders>
              <w:top w:val="single" w:color="auto" w:sz="4" w:space="0"/>
              <w:left w:val="single" w:color="auto" w:sz="4" w:space="0"/>
              <w:bottom w:val="single" w:color="auto" w:sz="4" w:space="0"/>
              <w:right w:val="single" w:color="auto" w:sz="4" w:space="0"/>
            </w:tcBorders>
            <w:noWrap/>
            <w:vAlign w:val="center"/>
          </w:tcPr>
          <w:p w14:paraId="23D32F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自开始计算至结果(分析结束显示结果)显</w:t>
            </w:r>
            <w:r>
              <w:rPr>
                <w:rFonts w:hint="eastAsia" w:asciiTheme="minorEastAsia" w:hAnsiTheme="minorEastAsia" w:eastAsiaTheme="minorEastAsia" w:cstheme="minorEastAsia"/>
                <w:sz w:val="18"/>
                <w:szCs w:val="18"/>
              </w:rPr>
              <w:t xml:space="preserve">示所需时间 </w:t>
            </w:r>
            <w:r>
              <w:rPr>
                <w:rFonts w:hint="eastAsia" w:asciiTheme="minorEastAsia" w:hAnsiTheme="minorEastAsia" w:eastAsiaTheme="minorEastAsia" w:cstheme="minorEastAsia"/>
                <w:spacing w:val="-1"/>
                <w:sz w:val="18"/>
                <w:szCs w:val="18"/>
              </w:rPr>
              <w:t>不大于2s(不包括样品制配及视野调整、选择所用时</w:t>
            </w:r>
            <w:r>
              <w:rPr>
                <w:rFonts w:hint="eastAsia" w:asciiTheme="minorEastAsia" w:hAnsiTheme="minorEastAsia" w:eastAsiaTheme="minorEastAsia" w:cstheme="minorEastAsia"/>
                <w:sz w:val="18"/>
                <w:szCs w:val="18"/>
              </w:rPr>
              <w:t>间)。</w:t>
            </w:r>
          </w:p>
        </w:tc>
        <w:tc>
          <w:tcPr>
            <w:tcW w:w="1556" w:type="dxa"/>
            <w:tcBorders>
              <w:top w:val="single" w:color="auto" w:sz="4" w:space="0"/>
              <w:left w:val="single" w:color="auto" w:sz="4" w:space="0"/>
              <w:bottom w:val="single" w:color="auto" w:sz="4" w:space="0"/>
              <w:right w:val="single" w:color="auto" w:sz="4" w:space="0"/>
            </w:tcBorders>
            <w:noWrap/>
            <w:vAlign w:val="center"/>
          </w:tcPr>
          <w:p w14:paraId="31C10356">
            <w:pPr>
              <w:jc w:val="center"/>
              <w:rPr>
                <w:rFonts w:hint="eastAsia" w:asciiTheme="minorEastAsia" w:hAnsiTheme="minorEastAsia" w:eastAsiaTheme="minorEastAsia" w:cstheme="minorEastAsia"/>
                <w:sz w:val="18"/>
                <w:szCs w:val="18"/>
              </w:rPr>
            </w:pPr>
          </w:p>
        </w:tc>
      </w:tr>
      <w:tr w14:paraId="009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7CE4F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3AFCEC3">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精子运动视频图像</w:t>
            </w:r>
          </w:p>
        </w:tc>
        <w:tc>
          <w:tcPr>
            <w:tcW w:w="4178" w:type="dxa"/>
            <w:tcBorders>
              <w:top w:val="single" w:color="auto" w:sz="4" w:space="0"/>
              <w:left w:val="single" w:color="auto" w:sz="4" w:space="0"/>
              <w:bottom w:val="single" w:color="auto" w:sz="4" w:space="0"/>
              <w:right w:val="single" w:color="auto" w:sz="4" w:space="0"/>
            </w:tcBorders>
            <w:noWrap/>
            <w:vAlign w:val="center"/>
          </w:tcPr>
          <w:p w14:paraId="3DE302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精子运动视频显示清晰，每个运动视频拍摄时长≥1s,</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且拍摄的视频能被完整分析。</w:t>
            </w:r>
          </w:p>
        </w:tc>
        <w:tc>
          <w:tcPr>
            <w:tcW w:w="1556" w:type="dxa"/>
            <w:tcBorders>
              <w:top w:val="single" w:color="auto" w:sz="4" w:space="0"/>
              <w:left w:val="single" w:color="auto" w:sz="4" w:space="0"/>
              <w:bottom w:val="single" w:color="auto" w:sz="4" w:space="0"/>
              <w:right w:val="single" w:color="auto" w:sz="4" w:space="0"/>
            </w:tcBorders>
            <w:noWrap/>
            <w:vAlign w:val="center"/>
          </w:tcPr>
          <w:p w14:paraId="5A467F84">
            <w:pPr>
              <w:jc w:val="center"/>
              <w:rPr>
                <w:rFonts w:hint="eastAsia" w:asciiTheme="minorEastAsia" w:hAnsiTheme="minorEastAsia" w:eastAsiaTheme="minorEastAsia" w:cstheme="minorEastAsia"/>
                <w:sz w:val="18"/>
                <w:szCs w:val="18"/>
              </w:rPr>
            </w:pPr>
          </w:p>
        </w:tc>
      </w:tr>
      <w:tr w14:paraId="2E2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1C48D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3C8DD104">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温度控制</w:t>
            </w:r>
          </w:p>
        </w:tc>
        <w:tc>
          <w:tcPr>
            <w:tcW w:w="4178" w:type="dxa"/>
            <w:tcBorders>
              <w:top w:val="single" w:color="auto" w:sz="4" w:space="0"/>
              <w:left w:val="single" w:color="auto" w:sz="4" w:space="0"/>
              <w:bottom w:val="single" w:color="auto" w:sz="4" w:space="0"/>
              <w:right w:val="single" w:color="auto" w:sz="4" w:space="0"/>
            </w:tcBorders>
            <w:noWrap/>
            <w:vAlign w:val="center"/>
          </w:tcPr>
          <w:p w14:paraId="032EB7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恒温板设定温度37℃,温度偏差不超过±0.5℃。</w:t>
            </w:r>
          </w:p>
        </w:tc>
        <w:tc>
          <w:tcPr>
            <w:tcW w:w="1556" w:type="dxa"/>
            <w:tcBorders>
              <w:top w:val="single" w:color="auto" w:sz="4" w:space="0"/>
              <w:left w:val="single" w:color="auto" w:sz="4" w:space="0"/>
              <w:bottom w:val="single" w:color="auto" w:sz="4" w:space="0"/>
              <w:right w:val="single" w:color="auto" w:sz="4" w:space="0"/>
            </w:tcBorders>
            <w:noWrap/>
            <w:vAlign w:val="center"/>
          </w:tcPr>
          <w:p w14:paraId="261F44C1">
            <w:pPr>
              <w:jc w:val="center"/>
              <w:rPr>
                <w:rFonts w:hint="eastAsia" w:asciiTheme="minorEastAsia" w:hAnsiTheme="minorEastAsia" w:eastAsiaTheme="minorEastAsia" w:cstheme="minorEastAsia"/>
                <w:sz w:val="18"/>
                <w:szCs w:val="18"/>
              </w:rPr>
            </w:pPr>
          </w:p>
        </w:tc>
      </w:tr>
      <w:tr w14:paraId="16B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E4C4A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57F63FDF">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精子形态学分析</w:t>
            </w:r>
          </w:p>
        </w:tc>
        <w:tc>
          <w:tcPr>
            <w:tcW w:w="4178" w:type="dxa"/>
            <w:tcBorders>
              <w:top w:val="single" w:color="auto" w:sz="4" w:space="0"/>
              <w:left w:val="single" w:color="auto" w:sz="4" w:space="0"/>
              <w:bottom w:val="single" w:color="auto" w:sz="4" w:space="0"/>
              <w:right w:val="single" w:color="auto" w:sz="4" w:space="0"/>
            </w:tcBorders>
            <w:noWrap/>
            <w:vAlign w:val="center"/>
          </w:tcPr>
          <w:p w14:paraId="716F932E">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精子质量检测系统应能</w:t>
            </w:r>
            <w:r>
              <w:rPr>
                <w:rFonts w:hint="eastAsia" w:asciiTheme="minorEastAsia" w:hAnsiTheme="minorEastAsia" w:eastAsiaTheme="minorEastAsia" w:cstheme="minorEastAsia"/>
                <w:spacing w:val="1"/>
                <w:sz w:val="18"/>
                <w:szCs w:val="18"/>
                <w:u w:val="single" w:color="auto"/>
              </w:rPr>
              <w:t>识</w:t>
            </w:r>
            <w:r>
              <w:rPr>
                <w:rFonts w:hint="eastAsia" w:asciiTheme="minorEastAsia" w:hAnsiTheme="minorEastAsia" w:eastAsiaTheme="minorEastAsia" w:cstheme="minorEastAsia"/>
                <w:spacing w:val="1"/>
                <w:sz w:val="18"/>
                <w:szCs w:val="18"/>
              </w:rPr>
              <w:t>别正常形</w:t>
            </w:r>
            <w:r>
              <w:rPr>
                <w:rFonts w:hint="eastAsia" w:asciiTheme="minorEastAsia" w:hAnsiTheme="minorEastAsia" w:eastAsiaTheme="minorEastAsia" w:cstheme="minorEastAsia"/>
                <w:sz w:val="18"/>
                <w:szCs w:val="18"/>
              </w:rPr>
              <w:t>态精子及异常形态精子，识别符合率≥80%。</w:t>
            </w:r>
          </w:p>
        </w:tc>
        <w:tc>
          <w:tcPr>
            <w:tcW w:w="1556" w:type="dxa"/>
            <w:tcBorders>
              <w:top w:val="single" w:color="auto" w:sz="4" w:space="0"/>
              <w:left w:val="single" w:color="auto" w:sz="4" w:space="0"/>
              <w:bottom w:val="single" w:color="auto" w:sz="4" w:space="0"/>
              <w:right w:val="single" w:color="auto" w:sz="4" w:space="0"/>
            </w:tcBorders>
            <w:noWrap/>
            <w:vAlign w:val="center"/>
          </w:tcPr>
          <w:p w14:paraId="67D427D1">
            <w:pPr>
              <w:jc w:val="center"/>
              <w:rPr>
                <w:rFonts w:hint="eastAsia" w:asciiTheme="minorEastAsia" w:hAnsiTheme="minorEastAsia" w:eastAsiaTheme="minorEastAsia" w:cstheme="minorEastAsia"/>
                <w:sz w:val="18"/>
                <w:szCs w:val="18"/>
              </w:rPr>
            </w:pPr>
          </w:p>
        </w:tc>
      </w:tr>
      <w:tr w14:paraId="7D1D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F85D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6E8EE036">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重复性</w:t>
            </w:r>
          </w:p>
        </w:tc>
        <w:tc>
          <w:tcPr>
            <w:tcW w:w="4178" w:type="dxa"/>
            <w:tcBorders>
              <w:top w:val="single" w:color="auto" w:sz="4" w:space="0"/>
              <w:left w:val="single" w:color="auto" w:sz="4" w:space="0"/>
              <w:bottom w:val="single" w:color="auto" w:sz="4" w:space="0"/>
              <w:right w:val="single" w:color="auto" w:sz="4" w:space="0"/>
            </w:tcBorders>
            <w:noWrap/>
            <w:vAlign w:val="center"/>
          </w:tcPr>
          <w:p w14:paraId="204A7271">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精子质量检测系统进行浓度分析，检测结果的变异系数</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8"/>
                <w:sz w:val="18"/>
                <w:szCs w:val="18"/>
              </w:rPr>
              <w:t>(CV)≤7%。</w:t>
            </w:r>
          </w:p>
        </w:tc>
        <w:tc>
          <w:tcPr>
            <w:tcW w:w="1556" w:type="dxa"/>
            <w:tcBorders>
              <w:top w:val="single" w:color="auto" w:sz="4" w:space="0"/>
              <w:left w:val="single" w:color="auto" w:sz="4" w:space="0"/>
              <w:bottom w:val="single" w:color="auto" w:sz="4" w:space="0"/>
              <w:right w:val="single" w:color="auto" w:sz="4" w:space="0"/>
            </w:tcBorders>
            <w:noWrap/>
            <w:vAlign w:val="center"/>
          </w:tcPr>
          <w:p w14:paraId="2D74E672">
            <w:pPr>
              <w:jc w:val="center"/>
              <w:rPr>
                <w:rFonts w:hint="eastAsia" w:asciiTheme="minorEastAsia" w:hAnsiTheme="minorEastAsia" w:eastAsiaTheme="minorEastAsia" w:cstheme="minorEastAsia"/>
                <w:sz w:val="18"/>
                <w:szCs w:val="18"/>
              </w:rPr>
            </w:pPr>
          </w:p>
        </w:tc>
      </w:tr>
      <w:tr w14:paraId="161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EBC6C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D22849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每场所采集的帧数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08414515">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对每一场样品采集的帧数为1帧～120帧，任选。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6B7ACAFD">
            <w:pPr>
              <w:jc w:val="center"/>
              <w:rPr>
                <w:rFonts w:hint="eastAsia" w:asciiTheme="minorEastAsia" w:hAnsiTheme="minorEastAsia" w:eastAsiaTheme="minorEastAsia" w:cstheme="minorEastAsia"/>
                <w:sz w:val="18"/>
                <w:szCs w:val="18"/>
              </w:rPr>
            </w:pPr>
          </w:p>
        </w:tc>
      </w:tr>
      <w:tr w14:paraId="0DC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BC43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545FFBBF">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精子质量检测系统分析</w:t>
            </w:r>
            <w:r>
              <w:rPr>
                <w:rFonts w:hint="eastAsia" w:asciiTheme="minorEastAsia" w:hAnsiTheme="minorEastAsia" w:eastAsiaTheme="minorEastAsia" w:cstheme="minorEastAsia"/>
                <w:spacing w:val="-3"/>
                <w:sz w:val="18"/>
                <w:szCs w:val="18"/>
              </w:rPr>
              <w:t>软件</w:t>
            </w:r>
          </w:p>
        </w:tc>
        <w:tc>
          <w:tcPr>
            <w:tcW w:w="4178" w:type="dxa"/>
            <w:tcBorders>
              <w:top w:val="single" w:color="auto" w:sz="4" w:space="0"/>
              <w:left w:val="single" w:color="auto" w:sz="4" w:space="0"/>
              <w:bottom w:val="single" w:color="auto" w:sz="4" w:space="0"/>
              <w:right w:val="single" w:color="auto" w:sz="4" w:space="0"/>
            </w:tcBorders>
            <w:noWrap/>
            <w:vAlign w:val="center"/>
          </w:tcPr>
          <w:p w14:paraId="29680CA6">
            <w:pPr>
              <w:pStyle w:val="23"/>
              <w:spacing w:before="75" w:line="219" w:lineRule="auto"/>
              <w:ind w:left="3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软件具有对精液主要性能数据进行分析统计的功能。</w:t>
            </w:r>
          </w:p>
          <w:p w14:paraId="01C7191C">
            <w:pPr>
              <w:pStyle w:val="23"/>
              <w:spacing w:line="219" w:lineRule="auto"/>
              <w:ind w:lef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a)软件具有对精子运动状况进行测定的功能。</w:t>
            </w:r>
          </w:p>
          <w:p w14:paraId="4CBABD0C">
            <w:pPr>
              <w:pStyle w:val="23"/>
              <w:spacing w:before="41" w:line="238" w:lineRule="auto"/>
              <w:ind w:right="13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b)软件具有保存病人姓名、精液样本信息等病案管理</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1"/>
                <w:sz w:val="18"/>
                <w:szCs w:val="18"/>
              </w:rPr>
              <w:t>资料的功能。</w:t>
            </w:r>
          </w:p>
          <w:p w14:paraId="16CC0AE1">
            <w:pPr>
              <w:pStyle w:val="23"/>
              <w:spacing w:before="18" w:line="233" w:lineRule="auto"/>
              <w:ind w:right="11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c)软件具有打印输出检验报告的功能，可将报告单导</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出为文件或图像格式。</w:t>
            </w:r>
          </w:p>
          <w:p w14:paraId="3D14931A">
            <w:pPr>
              <w:pStyle w:val="23"/>
              <w:spacing w:before="9" w:line="218"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d)软件具有报告编辑、存储、查询功能。</w:t>
            </w:r>
          </w:p>
          <w:p w14:paraId="3E412E6F">
            <w:pPr>
              <w:pStyle w:val="23"/>
              <w:spacing w:before="14" w:line="219"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e)软件根据分析图像可以人工审核修正结果。</w:t>
            </w:r>
          </w:p>
          <w:p w14:paraId="0B7E7D39">
            <w:pPr>
              <w:pStyle w:val="23"/>
              <w:spacing w:before="41" w:line="228" w:lineRule="auto"/>
              <w:ind w:righ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f)软件具备形态学自动分析功能，可识别分析正常、</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头部、颈部、尾部形态。</w:t>
            </w:r>
          </w:p>
          <w:p w14:paraId="1D9B1B79">
            <w:pPr>
              <w:pStyle w:val="23"/>
              <w:spacing w:before="3" w:line="214"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g)可录制视频，并对录制存储的视频进行分析检测。</w:t>
            </w:r>
          </w:p>
          <w:p w14:paraId="647D79A9">
            <w:pPr>
              <w:pStyle w:val="23"/>
              <w:spacing w:before="62" w:line="229" w:lineRule="auto"/>
              <w:ind w:left="14" w:right="26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h)具有实时连续跟踪精子运动的功能，所形成的精子</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1"/>
                <w:sz w:val="18"/>
                <w:szCs w:val="18"/>
              </w:rPr>
              <w:t>运动轨迹可以反复播放。</w:t>
            </w:r>
          </w:p>
          <w:p w14:paraId="2911D3B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i)软件具有质控功能。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2B219FB9">
            <w:pPr>
              <w:jc w:val="center"/>
              <w:rPr>
                <w:rFonts w:hint="eastAsia" w:asciiTheme="minorEastAsia" w:hAnsiTheme="minorEastAsia" w:eastAsiaTheme="minorEastAsia" w:cstheme="minorEastAsia"/>
                <w:sz w:val="18"/>
                <w:szCs w:val="18"/>
              </w:rPr>
            </w:pPr>
          </w:p>
        </w:tc>
      </w:tr>
    </w:tbl>
    <w:p w14:paraId="645AD103">
      <w:pPr>
        <w:jc w:val="center"/>
        <w:rPr>
          <w:rFonts w:hint="eastAsia" w:asciiTheme="minorEastAsia" w:hAnsiTheme="minorEastAsia" w:eastAsiaTheme="minorEastAsia" w:cstheme="minorEastAsia"/>
          <w:sz w:val="21"/>
          <w:szCs w:val="21"/>
        </w:rPr>
      </w:pPr>
    </w:p>
    <w:p w14:paraId="4A2DB0BD">
      <w:pPr>
        <w:jc w:val="center"/>
        <w:rPr>
          <w:rFonts w:hint="eastAsia" w:asciiTheme="minorEastAsia" w:hAnsiTheme="minorEastAsia" w:eastAsiaTheme="minorEastAsia" w:cstheme="minorEastAsia"/>
          <w:sz w:val="21"/>
          <w:szCs w:val="21"/>
        </w:rPr>
      </w:pPr>
    </w:p>
    <w:p w14:paraId="6325BAB2">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316981">
      <w:pPr>
        <w:rPr>
          <w:rFonts w:hint="eastAsia" w:ascii="宋体" w:hAnsi="宋体" w:cs="宋体"/>
          <w:b/>
          <w:bCs/>
          <w:color w:val="FF0000"/>
          <w:sz w:val="24"/>
          <w:lang w:val="en-US" w:eastAsia="zh-CN"/>
        </w:rPr>
      </w:pPr>
    </w:p>
    <w:p w14:paraId="2AB3F3D8">
      <w:pPr>
        <w:rPr>
          <w:rFonts w:hint="eastAsia" w:ascii="宋体" w:hAnsi="宋体" w:cs="宋体"/>
          <w:b/>
          <w:bCs/>
          <w:color w:val="FF0000"/>
          <w:sz w:val="24"/>
          <w:lang w:val="en-US" w:eastAsia="zh-CN"/>
        </w:rPr>
      </w:pPr>
    </w:p>
    <w:p w14:paraId="530D3ECA">
      <w:pPr>
        <w:rPr>
          <w:rFonts w:hint="eastAsia" w:ascii="宋体" w:hAnsi="宋体" w:cs="宋体"/>
          <w:b/>
          <w:bCs/>
          <w:color w:val="FF0000"/>
          <w:sz w:val="24"/>
          <w:lang w:val="en-US" w:eastAsia="zh-CN"/>
        </w:rPr>
      </w:pPr>
    </w:p>
    <w:p w14:paraId="192F73A9">
      <w:pPr>
        <w:rPr>
          <w:rFonts w:hint="eastAsia" w:ascii="宋体" w:hAnsi="宋体" w:cs="宋体"/>
          <w:b/>
          <w:bCs/>
          <w:color w:val="FF0000"/>
          <w:sz w:val="24"/>
          <w:lang w:val="en-US" w:eastAsia="zh-CN"/>
        </w:rPr>
      </w:pPr>
    </w:p>
    <w:p w14:paraId="5D58916D">
      <w:pPr>
        <w:rPr>
          <w:rFonts w:hint="eastAsia" w:ascii="宋体" w:hAnsi="宋体" w:cs="宋体"/>
          <w:b/>
          <w:bCs/>
          <w:color w:val="FF0000"/>
          <w:sz w:val="24"/>
          <w:lang w:val="en-US" w:eastAsia="zh-CN"/>
        </w:rPr>
      </w:pPr>
    </w:p>
    <w:p w14:paraId="207EAA9D">
      <w:pPr>
        <w:rPr>
          <w:rFonts w:hint="eastAsia" w:ascii="宋体" w:hAnsi="宋体" w:cs="宋体"/>
          <w:b/>
          <w:bCs/>
          <w:color w:val="FF0000"/>
          <w:sz w:val="24"/>
          <w:lang w:val="en-US" w:eastAsia="zh-CN"/>
        </w:rPr>
      </w:pPr>
    </w:p>
    <w:p w14:paraId="3147F72D">
      <w:pPr>
        <w:rPr>
          <w:rFonts w:hint="eastAsia" w:ascii="宋体" w:hAnsi="宋体" w:cs="宋体"/>
          <w:b/>
          <w:bCs/>
          <w:color w:val="FF0000"/>
          <w:sz w:val="24"/>
          <w:lang w:val="en-US" w:eastAsia="zh-CN"/>
        </w:rPr>
      </w:pPr>
    </w:p>
    <w:p w14:paraId="4627FB7B">
      <w:pPr>
        <w:rPr>
          <w:rFonts w:hint="eastAsia" w:ascii="宋体" w:hAnsi="宋体" w:cs="宋体"/>
          <w:b/>
          <w:bCs/>
          <w:color w:val="FF0000"/>
          <w:sz w:val="24"/>
          <w:lang w:val="en-US" w:eastAsia="zh-CN"/>
        </w:rPr>
      </w:pPr>
    </w:p>
    <w:p w14:paraId="1B3F61F5">
      <w:pPr>
        <w:rPr>
          <w:rFonts w:hint="eastAsia" w:ascii="宋体" w:hAnsi="宋体" w:cs="宋体"/>
          <w:b/>
          <w:bCs/>
          <w:color w:val="FF0000"/>
          <w:sz w:val="24"/>
          <w:lang w:val="en-US" w:eastAsia="zh-CN"/>
        </w:rPr>
      </w:pPr>
    </w:p>
    <w:p w14:paraId="03337338">
      <w:pPr>
        <w:rPr>
          <w:rFonts w:hint="eastAsia" w:ascii="宋体" w:hAnsi="宋体" w:cs="宋体"/>
          <w:b/>
          <w:bCs/>
          <w:color w:val="FF0000"/>
          <w:sz w:val="24"/>
          <w:lang w:val="en-US" w:eastAsia="zh-CN"/>
        </w:rPr>
      </w:pPr>
    </w:p>
    <w:p w14:paraId="37496D7B">
      <w:pPr>
        <w:rPr>
          <w:rFonts w:hint="eastAsia" w:ascii="宋体" w:hAnsi="宋体" w:cs="宋体"/>
          <w:b/>
          <w:bCs/>
          <w:color w:val="FF0000"/>
          <w:sz w:val="24"/>
          <w:lang w:val="en-US" w:eastAsia="zh-CN"/>
        </w:rPr>
      </w:pPr>
    </w:p>
    <w:p w14:paraId="0F35AF8E">
      <w:pPr>
        <w:spacing w:line="360" w:lineRule="auto"/>
        <w:jc w:val="center"/>
        <w:outlineLvl w:val="0"/>
        <w:rPr>
          <w:rFonts w:hint="eastAsia" w:ascii="宋体" w:hAnsi="宋体" w:cs="宋体"/>
          <w:b/>
          <w:bCs/>
          <w:sz w:val="28"/>
          <w:szCs w:val="28"/>
          <w:lang w:val="en-US" w:eastAsia="zh-CN"/>
        </w:rPr>
      </w:pPr>
    </w:p>
    <w:p w14:paraId="72F1FC4E">
      <w:pPr>
        <w:spacing w:line="360" w:lineRule="auto"/>
        <w:jc w:val="center"/>
        <w:outlineLvl w:val="0"/>
        <w:rPr>
          <w:rFonts w:hint="eastAsia" w:ascii="宋体" w:hAnsi="宋体" w:cs="宋体"/>
          <w:b/>
          <w:bCs/>
          <w:sz w:val="28"/>
          <w:szCs w:val="28"/>
          <w:lang w:val="en-US" w:eastAsia="zh-CN"/>
        </w:rPr>
      </w:pPr>
    </w:p>
    <w:p w14:paraId="1D40250C">
      <w:pPr>
        <w:spacing w:line="360" w:lineRule="auto"/>
        <w:jc w:val="center"/>
        <w:outlineLvl w:val="0"/>
        <w:rPr>
          <w:rFonts w:hint="eastAsia" w:ascii="宋体" w:hAnsi="宋体" w:cs="宋体"/>
          <w:b/>
          <w:bCs/>
          <w:sz w:val="28"/>
          <w:szCs w:val="28"/>
          <w:lang w:val="en-US" w:eastAsia="zh-CN"/>
        </w:rPr>
      </w:pPr>
    </w:p>
    <w:p w14:paraId="757F1505">
      <w:pPr>
        <w:spacing w:line="360" w:lineRule="auto"/>
        <w:jc w:val="center"/>
        <w:outlineLvl w:val="0"/>
        <w:rPr>
          <w:rFonts w:hint="eastAsia" w:ascii="宋体" w:hAnsi="宋体" w:cs="宋体"/>
          <w:b/>
          <w:bCs/>
          <w:sz w:val="28"/>
          <w:szCs w:val="28"/>
          <w:lang w:val="en-US" w:eastAsia="zh-CN"/>
        </w:rPr>
      </w:pPr>
    </w:p>
    <w:p w14:paraId="2F4BC82A">
      <w:pPr>
        <w:spacing w:line="360" w:lineRule="auto"/>
        <w:jc w:val="center"/>
        <w:outlineLvl w:val="0"/>
        <w:rPr>
          <w:rFonts w:hint="eastAsia" w:ascii="宋体" w:hAnsi="宋体" w:cs="宋体"/>
          <w:b/>
          <w:bCs/>
          <w:sz w:val="28"/>
          <w:szCs w:val="28"/>
          <w:lang w:val="en-US" w:eastAsia="zh-CN"/>
        </w:rPr>
      </w:pPr>
    </w:p>
    <w:p w14:paraId="55E2C0AC">
      <w:pPr>
        <w:spacing w:line="360" w:lineRule="auto"/>
        <w:jc w:val="center"/>
        <w:outlineLvl w:val="0"/>
        <w:rPr>
          <w:rFonts w:hint="eastAsia" w:ascii="宋体" w:hAnsi="宋体" w:cs="宋体"/>
          <w:b/>
          <w:bCs/>
          <w:sz w:val="28"/>
          <w:szCs w:val="28"/>
          <w:lang w:val="en-US" w:eastAsia="zh-CN"/>
        </w:rPr>
      </w:pPr>
    </w:p>
    <w:p w14:paraId="49049E3F">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全自动生化分析仪设备功能要求响应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C79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FF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A7FA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设备名称：全自动生化分析仪</w:t>
            </w:r>
          </w:p>
        </w:tc>
      </w:tr>
      <w:tr w14:paraId="0DF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71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846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B8F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95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2E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37CA14">
            <w:pPr>
              <w:pStyle w:val="23"/>
              <w:spacing w:before="49" w:line="277" w:lineRule="auto"/>
              <w:ind w:left="20" w:firstLine="29"/>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测试/小时：大于等于2200</w:t>
            </w:r>
          </w:p>
        </w:tc>
        <w:tc>
          <w:tcPr>
            <w:tcW w:w="3307" w:type="dxa"/>
            <w:tcBorders>
              <w:top w:val="single" w:color="auto" w:sz="4" w:space="0"/>
              <w:left w:val="single" w:color="auto" w:sz="4" w:space="0"/>
              <w:right w:val="single" w:color="auto" w:sz="4" w:space="0"/>
            </w:tcBorders>
            <w:shd w:val="clear" w:color="auto" w:fill="auto"/>
            <w:noWrap w:val="0"/>
            <w:vAlign w:val="top"/>
          </w:tcPr>
          <w:p w14:paraId="5D3D84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7F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9B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6B0AF1">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测光方法：支持双波长和或单波长。包</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z w:val="18"/>
                <w:szCs w:val="18"/>
              </w:rPr>
              <w:t>括终点法、速率法、固定时间法、比浊</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8"/>
                <w:sz w:val="18"/>
                <w:szCs w:val="18"/>
              </w:rPr>
              <w:t>法等。</w:t>
            </w:r>
          </w:p>
        </w:tc>
        <w:tc>
          <w:tcPr>
            <w:tcW w:w="3307" w:type="dxa"/>
            <w:tcBorders>
              <w:top w:val="single" w:color="auto" w:sz="4" w:space="0"/>
              <w:left w:val="single" w:color="auto" w:sz="4" w:space="0"/>
              <w:right w:val="single" w:color="auto" w:sz="4" w:space="0"/>
            </w:tcBorders>
            <w:shd w:val="clear" w:color="auto" w:fill="auto"/>
            <w:noWrap w:val="0"/>
            <w:vAlign w:val="top"/>
          </w:tcPr>
          <w:p w14:paraId="3D52C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78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21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03593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5"/>
                <w:sz w:val="18"/>
                <w:szCs w:val="18"/>
              </w:rPr>
              <w:t>长范围：340-1000nm,具备多个波长，</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spacing w:val="-5"/>
                <w:sz w:val="18"/>
                <w:szCs w:val="18"/>
              </w:rPr>
              <w:t>可满足多种检测项目需求。</w:t>
            </w:r>
          </w:p>
        </w:tc>
        <w:tc>
          <w:tcPr>
            <w:tcW w:w="3307" w:type="dxa"/>
            <w:tcBorders>
              <w:top w:val="single" w:color="auto" w:sz="4" w:space="0"/>
              <w:left w:val="single" w:color="auto" w:sz="4" w:space="0"/>
              <w:right w:val="single" w:color="auto" w:sz="4" w:space="0"/>
            </w:tcBorders>
            <w:shd w:val="clear" w:color="auto" w:fill="auto"/>
            <w:noWrap w:val="0"/>
            <w:vAlign w:val="top"/>
          </w:tcPr>
          <w:p w14:paraId="0055A4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7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F3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1E81F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试剂瓶规格：有多种规格可选</w:t>
            </w:r>
          </w:p>
        </w:tc>
        <w:tc>
          <w:tcPr>
            <w:tcW w:w="3307" w:type="dxa"/>
            <w:tcBorders>
              <w:top w:val="single" w:color="auto" w:sz="4" w:space="0"/>
              <w:left w:val="single" w:color="auto" w:sz="4" w:space="0"/>
              <w:right w:val="single" w:color="auto" w:sz="4" w:space="0"/>
            </w:tcBorders>
            <w:shd w:val="clear" w:color="auto" w:fill="auto"/>
            <w:noWrap w:val="0"/>
            <w:vAlign w:val="top"/>
          </w:tcPr>
          <w:p w14:paraId="511E3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BA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C8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085C9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6"/>
                <w:sz w:val="18"/>
                <w:szCs w:val="18"/>
              </w:rPr>
              <w:t>加样系统：样本针功能：液面探测、凝</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块检测、堵针检测、吸样量不足监测、</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4"/>
                <w:sz w:val="18"/>
                <w:szCs w:val="18"/>
              </w:rPr>
              <w:t>防撞功能。具备自动稀释功能，且稀释</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4"/>
                <w:sz w:val="18"/>
                <w:szCs w:val="18"/>
              </w:rPr>
              <w:t>时不影响仪器通量。液面探测、试剂量</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3"/>
                <w:sz w:val="18"/>
                <w:szCs w:val="18"/>
              </w:rPr>
              <w:t>不足检测、余量检测、自动防撞。</w:t>
            </w:r>
          </w:p>
        </w:tc>
        <w:tc>
          <w:tcPr>
            <w:tcW w:w="3307" w:type="dxa"/>
            <w:tcBorders>
              <w:top w:val="single" w:color="auto" w:sz="4" w:space="0"/>
              <w:left w:val="single" w:color="auto" w:sz="4" w:space="0"/>
              <w:right w:val="single" w:color="auto" w:sz="4" w:space="0"/>
            </w:tcBorders>
            <w:shd w:val="clear" w:color="auto" w:fill="auto"/>
            <w:noWrap w:val="0"/>
            <w:vAlign w:val="top"/>
          </w:tcPr>
          <w:p w14:paraId="30EF8F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2A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B6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D9779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通讯模式：支持LIS双向通讯功能并免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费连接。</w:t>
            </w:r>
          </w:p>
        </w:tc>
        <w:tc>
          <w:tcPr>
            <w:tcW w:w="3307" w:type="dxa"/>
            <w:tcBorders>
              <w:top w:val="single" w:color="auto" w:sz="4" w:space="0"/>
              <w:left w:val="single" w:color="auto" w:sz="4" w:space="0"/>
              <w:right w:val="single" w:color="auto" w:sz="4" w:space="0"/>
            </w:tcBorders>
            <w:shd w:val="clear" w:color="auto" w:fill="auto"/>
            <w:noWrap w:val="0"/>
            <w:vAlign w:val="top"/>
          </w:tcPr>
          <w:p w14:paraId="2BE88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92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11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791D2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处理功能：可选配连接前处理系统，</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具有前处理功能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A96C9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EB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BC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8B776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急诊功能：支持急诊及优先</w:t>
            </w:r>
          </w:p>
        </w:tc>
        <w:tc>
          <w:tcPr>
            <w:tcW w:w="3307" w:type="dxa"/>
            <w:tcBorders>
              <w:top w:val="single" w:color="auto" w:sz="4" w:space="0"/>
              <w:left w:val="single" w:color="auto" w:sz="4" w:space="0"/>
              <w:right w:val="single" w:color="auto" w:sz="4" w:space="0"/>
            </w:tcBorders>
            <w:shd w:val="clear" w:color="auto" w:fill="auto"/>
            <w:noWrap w:val="0"/>
            <w:vAlign w:val="top"/>
          </w:tcPr>
          <w:p w14:paraId="33300D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A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2E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BA7D51">
            <w:pPr>
              <w:pStyle w:val="20"/>
              <w:numPr>
                <w:ilvl w:val="0"/>
                <w:numId w:val="0"/>
              </w:numPr>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复测功能：具备自动复测功能，可同时</w:t>
            </w:r>
            <w:r>
              <w:rPr>
                <w:rFonts w:hint="eastAsia" w:asciiTheme="minorEastAsia" w:hAnsiTheme="minorEastAsia" w:eastAsiaTheme="minorEastAsia" w:cstheme="minorEastAsia"/>
                <w:sz w:val="18"/>
                <w:szCs w:val="18"/>
              </w:rPr>
              <w:t xml:space="preserve"> 使用原始样本或稀释后样本复测。</w:t>
            </w:r>
          </w:p>
        </w:tc>
        <w:tc>
          <w:tcPr>
            <w:tcW w:w="3307" w:type="dxa"/>
            <w:tcBorders>
              <w:top w:val="single" w:color="auto" w:sz="4" w:space="0"/>
              <w:left w:val="single" w:color="auto" w:sz="4" w:space="0"/>
              <w:right w:val="single" w:color="auto" w:sz="4" w:space="0"/>
            </w:tcBorders>
            <w:shd w:val="clear" w:color="auto" w:fill="auto"/>
            <w:noWrap w:val="0"/>
            <w:vAlign w:val="top"/>
          </w:tcPr>
          <w:p w14:paraId="404A2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58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4D5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EA7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27177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A4B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AE3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68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6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7A5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1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83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0D8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862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911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A70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0FA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9BC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F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B2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191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C5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45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26F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A25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29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73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F78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8194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912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90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A63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65F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219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6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2A4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D3BD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81C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4C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38B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C23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18F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7E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81B0F5">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266054">
            <w:pPr>
              <w:jc w:val="left"/>
              <w:rPr>
                <w:rFonts w:hint="eastAsia" w:eastAsia="宋体" w:asciiTheme="minorEastAsia" w:hAnsiTheme="minorEastAsia" w:cstheme="minorEastAsia"/>
                <w:color w:val="FF0000"/>
                <w:kern w:val="2"/>
                <w:sz w:val="21"/>
                <w:szCs w:val="21"/>
                <w:highlight w:val="yellow"/>
                <w:lang w:val="en-US" w:eastAsia="zh-CN" w:bidi="ar-SA"/>
              </w:rPr>
            </w:pPr>
            <w:r>
              <w:t>电源：220v±10%</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C7F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CCF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294F8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8C937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93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D6155D4">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92C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7A27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2B3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54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41FAC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69119748">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恒温系统：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2CE256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
                <w:sz w:val="18"/>
                <w:szCs w:val="18"/>
              </w:rPr>
              <w:t>采用循环水浴式控温，</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4"/>
                <w:sz w:val="18"/>
                <w:szCs w:val="18"/>
              </w:rPr>
              <w:t>非其它液体添加方式，精度可达37.0±</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0.1℃;</w:t>
            </w:r>
          </w:p>
        </w:tc>
        <w:tc>
          <w:tcPr>
            <w:tcW w:w="1556" w:type="dxa"/>
            <w:tcBorders>
              <w:top w:val="single" w:color="auto" w:sz="4" w:space="0"/>
              <w:left w:val="single" w:color="auto" w:sz="4" w:space="0"/>
              <w:bottom w:val="single" w:color="auto" w:sz="4" w:space="0"/>
              <w:right w:val="single" w:color="auto" w:sz="4" w:space="0"/>
            </w:tcBorders>
            <w:noWrap/>
            <w:vAlign w:val="center"/>
          </w:tcPr>
          <w:p w14:paraId="6986B23A">
            <w:pPr>
              <w:jc w:val="center"/>
              <w:rPr>
                <w:rFonts w:hint="eastAsia" w:asciiTheme="minorEastAsia" w:hAnsiTheme="minorEastAsia" w:eastAsiaTheme="minorEastAsia" w:cstheme="minorEastAsia"/>
                <w:sz w:val="18"/>
                <w:szCs w:val="18"/>
              </w:rPr>
            </w:pPr>
          </w:p>
        </w:tc>
      </w:tr>
      <w:tr w14:paraId="5BBF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4F81A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4776DF95">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搅拌系统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67FE49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采用非接触式(超声波)</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
                <w:sz w:val="18"/>
                <w:szCs w:val="18"/>
              </w:rPr>
              <w:t>搅拌，可最大限度消除搅拌所带来的交叉</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8"/>
                <w:sz w:val="18"/>
                <w:szCs w:val="18"/>
              </w:rPr>
              <w:t>污染</w:t>
            </w:r>
            <w:r>
              <w:rPr>
                <w:rFonts w:hint="eastAsia" w:asciiTheme="minorEastAsia" w:hAnsiTheme="minorEastAsia" w:eastAsiaTheme="minorEastAsia" w:cstheme="minorEastAsia"/>
                <w:spacing w:val="-23"/>
                <w:sz w:val="18"/>
                <w:szCs w:val="18"/>
              </w:rPr>
              <w:t xml:space="preserve"> </w:t>
            </w:r>
            <w:r>
              <w:rPr>
                <w:rFonts w:hint="eastAsia" w:asciiTheme="minorEastAsia" w:hAnsiTheme="minorEastAsia" w:eastAsiaTheme="minorEastAsia" w:cstheme="minorEastAsia"/>
                <w:spacing w:val="-8"/>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5F8D5F7E">
            <w:pPr>
              <w:jc w:val="center"/>
              <w:rPr>
                <w:rFonts w:hint="eastAsia" w:asciiTheme="minorEastAsia" w:hAnsiTheme="minorEastAsia" w:eastAsiaTheme="minorEastAsia" w:cstheme="minorEastAsia"/>
                <w:sz w:val="18"/>
                <w:szCs w:val="18"/>
              </w:rPr>
            </w:pPr>
          </w:p>
        </w:tc>
      </w:tr>
      <w:tr w14:paraId="4467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403E2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4FD92F89">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试剂系统：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4437AC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全部试剂通道开放，可</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rPr>
              <w:t>以选择使用国产品牌和进口品牌试剂</w:t>
            </w:r>
          </w:p>
        </w:tc>
        <w:tc>
          <w:tcPr>
            <w:tcW w:w="1556" w:type="dxa"/>
            <w:tcBorders>
              <w:top w:val="single" w:color="auto" w:sz="4" w:space="0"/>
              <w:left w:val="single" w:color="auto" w:sz="4" w:space="0"/>
              <w:bottom w:val="single" w:color="auto" w:sz="4" w:space="0"/>
              <w:right w:val="single" w:color="auto" w:sz="4" w:space="0"/>
            </w:tcBorders>
            <w:noWrap/>
            <w:vAlign w:val="center"/>
          </w:tcPr>
          <w:p w14:paraId="4982D708">
            <w:pPr>
              <w:jc w:val="center"/>
              <w:rPr>
                <w:rFonts w:hint="eastAsia" w:asciiTheme="minorEastAsia" w:hAnsiTheme="minorEastAsia" w:eastAsiaTheme="minorEastAsia" w:cstheme="minorEastAsia"/>
                <w:sz w:val="18"/>
                <w:szCs w:val="18"/>
              </w:rPr>
            </w:pPr>
          </w:p>
        </w:tc>
      </w:tr>
      <w:tr w14:paraId="522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25C526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46D38A2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登录分析项目：</w:t>
            </w:r>
          </w:p>
        </w:tc>
        <w:tc>
          <w:tcPr>
            <w:tcW w:w="4178" w:type="dxa"/>
            <w:tcBorders>
              <w:top w:val="single" w:color="auto" w:sz="4" w:space="0"/>
              <w:left w:val="single" w:color="auto" w:sz="4" w:space="0"/>
              <w:bottom w:val="single" w:color="auto" w:sz="4" w:space="0"/>
              <w:right w:val="single" w:color="auto" w:sz="4" w:space="0"/>
            </w:tcBorders>
            <w:noWrap/>
            <w:vAlign w:val="center"/>
          </w:tcPr>
          <w:p w14:paraId="2903DFB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214项(含ISE(K、Na、Cl)3</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项、计算项目8项、血清信息3项</w:t>
            </w:r>
          </w:p>
        </w:tc>
        <w:tc>
          <w:tcPr>
            <w:tcW w:w="1556" w:type="dxa"/>
            <w:tcBorders>
              <w:top w:val="single" w:color="auto" w:sz="4" w:space="0"/>
              <w:left w:val="single" w:color="auto" w:sz="4" w:space="0"/>
              <w:bottom w:val="single" w:color="auto" w:sz="4" w:space="0"/>
              <w:right w:val="single" w:color="auto" w:sz="4" w:space="0"/>
            </w:tcBorders>
            <w:noWrap/>
            <w:vAlign w:val="center"/>
          </w:tcPr>
          <w:p w14:paraId="5ADD36E1">
            <w:pPr>
              <w:jc w:val="center"/>
              <w:rPr>
                <w:rFonts w:hint="eastAsia" w:asciiTheme="minorEastAsia" w:hAnsiTheme="minorEastAsia" w:eastAsiaTheme="minorEastAsia" w:cstheme="minorEastAsia"/>
                <w:sz w:val="18"/>
                <w:szCs w:val="18"/>
              </w:rPr>
            </w:pPr>
          </w:p>
        </w:tc>
      </w:tr>
      <w:tr w14:paraId="6EEC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EB444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5617C5F0">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分析方法：</w:t>
            </w:r>
          </w:p>
        </w:tc>
        <w:tc>
          <w:tcPr>
            <w:tcW w:w="4178" w:type="dxa"/>
            <w:tcBorders>
              <w:top w:val="single" w:color="auto" w:sz="4" w:space="0"/>
              <w:left w:val="single" w:color="auto" w:sz="4" w:space="0"/>
              <w:bottom w:val="single" w:color="auto" w:sz="4" w:space="0"/>
              <w:right w:val="single" w:color="auto" w:sz="4" w:space="0"/>
            </w:tcBorders>
            <w:noWrap/>
            <w:vAlign w:val="center"/>
          </w:tcPr>
          <w:p w14:paraId="3F314CC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1点法、2点终点法、2点速率</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2"/>
                <w:sz w:val="18"/>
                <w:szCs w:val="18"/>
              </w:rPr>
              <w:t>法、速率A法</w:t>
            </w:r>
          </w:p>
        </w:tc>
        <w:tc>
          <w:tcPr>
            <w:tcW w:w="1556" w:type="dxa"/>
            <w:tcBorders>
              <w:top w:val="single" w:color="auto" w:sz="4" w:space="0"/>
              <w:left w:val="single" w:color="auto" w:sz="4" w:space="0"/>
              <w:bottom w:val="single" w:color="auto" w:sz="4" w:space="0"/>
              <w:right w:val="single" w:color="auto" w:sz="4" w:space="0"/>
            </w:tcBorders>
            <w:noWrap/>
            <w:vAlign w:val="center"/>
          </w:tcPr>
          <w:p w14:paraId="6C169713">
            <w:pPr>
              <w:jc w:val="center"/>
              <w:rPr>
                <w:rFonts w:hint="eastAsia" w:asciiTheme="minorEastAsia" w:hAnsiTheme="minorEastAsia" w:eastAsiaTheme="minorEastAsia" w:cstheme="minorEastAsia"/>
                <w:sz w:val="18"/>
                <w:szCs w:val="18"/>
              </w:rPr>
            </w:pPr>
          </w:p>
        </w:tc>
      </w:tr>
      <w:tr w14:paraId="57E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3B60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1C1132E3">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计算功能：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5FB74C54">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项目间计算、数据补偿、重复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3"/>
                <w:sz w:val="18"/>
                <w:szCs w:val="18"/>
              </w:rPr>
              <w:t>性检查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4A6E1B04">
            <w:pPr>
              <w:jc w:val="center"/>
              <w:rPr>
                <w:rFonts w:hint="eastAsia" w:asciiTheme="minorEastAsia" w:hAnsiTheme="minorEastAsia" w:eastAsiaTheme="minorEastAsia" w:cstheme="minorEastAsia"/>
                <w:sz w:val="18"/>
                <w:szCs w:val="18"/>
              </w:rPr>
            </w:pPr>
          </w:p>
        </w:tc>
      </w:tr>
      <w:tr w14:paraId="298C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99E10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2409480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5"/>
                <w:sz w:val="18"/>
                <w:szCs w:val="18"/>
              </w:rPr>
              <w:t>监视器功能：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1DF9429">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5"/>
                <w:sz w:val="18"/>
                <w:szCs w:val="18"/>
              </w:rPr>
              <w:t>反应过程监视、数据监视、</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校准追踪、工作曲线等</w:t>
            </w:r>
          </w:p>
        </w:tc>
        <w:tc>
          <w:tcPr>
            <w:tcW w:w="1556" w:type="dxa"/>
            <w:tcBorders>
              <w:top w:val="single" w:color="auto" w:sz="4" w:space="0"/>
              <w:left w:val="single" w:color="auto" w:sz="4" w:space="0"/>
              <w:bottom w:val="single" w:color="auto" w:sz="4" w:space="0"/>
              <w:right w:val="single" w:color="auto" w:sz="4" w:space="0"/>
            </w:tcBorders>
            <w:noWrap/>
            <w:vAlign w:val="center"/>
          </w:tcPr>
          <w:p w14:paraId="1BF24B4D">
            <w:pPr>
              <w:jc w:val="center"/>
              <w:rPr>
                <w:rFonts w:hint="eastAsia" w:asciiTheme="minorEastAsia" w:hAnsiTheme="minorEastAsia" w:eastAsiaTheme="minorEastAsia" w:cstheme="minorEastAsia"/>
                <w:sz w:val="18"/>
                <w:szCs w:val="18"/>
              </w:rPr>
            </w:pPr>
          </w:p>
        </w:tc>
      </w:tr>
      <w:tr w14:paraId="1CD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45B01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37EE58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质控管理：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1EEC213C">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实时质控管理、日内质控管理、</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4"/>
                <w:sz w:val="18"/>
                <w:szCs w:val="18"/>
              </w:rPr>
              <w:t>日间质控管理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3D59DBB6">
            <w:pPr>
              <w:jc w:val="center"/>
              <w:rPr>
                <w:rFonts w:hint="eastAsia" w:asciiTheme="minorEastAsia" w:hAnsiTheme="minorEastAsia" w:eastAsiaTheme="minorEastAsia" w:cstheme="minorEastAsia"/>
                <w:sz w:val="18"/>
                <w:szCs w:val="18"/>
              </w:rPr>
            </w:pPr>
          </w:p>
        </w:tc>
      </w:tr>
      <w:tr w14:paraId="463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D0A7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8B4766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样品装载量：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5FC5914B">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≥5位置样品架，单次最大可</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2"/>
                <w:sz w:val="18"/>
                <w:szCs w:val="18"/>
              </w:rPr>
              <w:t>装载≥300个样品</w:t>
            </w:r>
          </w:p>
        </w:tc>
        <w:tc>
          <w:tcPr>
            <w:tcW w:w="1556" w:type="dxa"/>
            <w:tcBorders>
              <w:top w:val="single" w:color="auto" w:sz="4" w:space="0"/>
              <w:left w:val="single" w:color="auto" w:sz="4" w:space="0"/>
              <w:bottom w:val="single" w:color="auto" w:sz="4" w:space="0"/>
              <w:right w:val="single" w:color="auto" w:sz="4" w:space="0"/>
            </w:tcBorders>
            <w:noWrap/>
            <w:vAlign w:val="center"/>
          </w:tcPr>
          <w:p w14:paraId="0B341D20">
            <w:pPr>
              <w:jc w:val="center"/>
              <w:rPr>
                <w:rFonts w:hint="eastAsia" w:asciiTheme="minorEastAsia" w:hAnsiTheme="minorEastAsia" w:eastAsiaTheme="minorEastAsia" w:cstheme="minorEastAsia"/>
                <w:sz w:val="18"/>
                <w:szCs w:val="18"/>
              </w:rPr>
            </w:pPr>
          </w:p>
        </w:tc>
      </w:tr>
      <w:tr w14:paraId="077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68B2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25B4C5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试剂装载数：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5D14504E">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70个双试剂位，全试剂位冷</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z w:val="18"/>
                <w:szCs w:val="18"/>
              </w:rPr>
              <w:t>藏</w:t>
            </w:r>
          </w:p>
        </w:tc>
        <w:tc>
          <w:tcPr>
            <w:tcW w:w="1556" w:type="dxa"/>
            <w:tcBorders>
              <w:top w:val="single" w:color="auto" w:sz="4" w:space="0"/>
              <w:left w:val="single" w:color="auto" w:sz="4" w:space="0"/>
              <w:bottom w:val="single" w:color="auto" w:sz="4" w:space="0"/>
              <w:right w:val="single" w:color="auto" w:sz="4" w:space="0"/>
            </w:tcBorders>
            <w:noWrap/>
            <w:vAlign w:val="center"/>
          </w:tcPr>
          <w:p w14:paraId="00015333">
            <w:pPr>
              <w:jc w:val="center"/>
              <w:rPr>
                <w:rFonts w:hint="eastAsia" w:asciiTheme="minorEastAsia" w:hAnsiTheme="minorEastAsia" w:eastAsiaTheme="minorEastAsia" w:cstheme="minorEastAsia"/>
                <w:sz w:val="18"/>
                <w:szCs w:val="18"/>
              </w:rPr>
            </w:pPr>
          </w:p>
        </w:tc>
      </w:tr>
      <w:tr w14:paraId="342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56FB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124B3C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样品针堵塞检测：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4FB4928C">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具备采用压力变化检测</w:t>
            </w:r>
            <w:r>
              <w:rPr>
                <w:rFonts w:hint="eastAsia" w:asciiTheme="minorEastAsia" w:hAnsiTheme="minorEastAsia" w:eastAsiaTheme="minorEastAsia" w:cstheme="minorEastAsia"/>
                <w:spacing w:val="6"/>
                <w:sz w:val="18"/>
                <w:szCs w:val="18"/>
              </w:rPr>
              <w:t>方式《</w:t>
            </w:r>
            <w:r>
              <w:rPr>
                <w:rFonts w:hint="eastAsia" w:asciiTheme="minorEastAsia" w:hAnsiTheme="minorEastAsia" w:eastAsiaTheme="minorEastAsia" w:cstheme="minorEastAsia"/>
                <w:sz w:val="18"/>
                <w:szCs w:val="18"/>
              </w:rPr>
              <w:t>MTS</w:t>
            </w:r>
            <w:r>
              <w:rPr>
                <w:rFonts w:hint="eastAsia" w:asciiTheme="minorEastAsia" w:hAnsiTheme="minorEastAsia" w:eastAsiaTheme="minorEastAsia" w:cstheme="minorEastAsia"/>
                <w:spacing w:val="6"/>
                <w:sz w:val="18"/>
                <w:szCs w:val="18"/>
              </w:rPr>
              <w:t>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509CA066">
            <w:pPr>
              <w:jc w:val="center"/>
              <w:rPr>
                <w:rFonts w:hint="eastAsia" w:asciiTheme="minorEastAsia" w:hAnsiTheme="minorEastAsia" w:eastAsiaTheme="minorEastAsia" w:cstheme="minorEastAsia"/>
                <w:sz w:val="18"/>
                <w:szCs w:val="18"/>
              </w:rPr>
            </w:pPr>
          </w:p>
        </w:tc>
      </w:tr>
    </w:tbl>
    <w:p w14:paraId="35B32C82">
      <w:pPr>
        <w:jc w:val="center"/>
        <w:rPr>
          <w:rFonts w:hint="eastAsia" w:asciiTheme="minorEastAsia" w:hAnsiTheme="minorEastAsia" w:eastAsiaTheme="minorEastAsia" w:cstheme="minorEastAsia"/>
          <w:sz w:val="21"/>
          <w:szCs w:val="21"/>
        </w:rPr>
      </w:pPr>
    </w:p>
    <w:p w14:paraId="5072C2D3">
      <w:pPr>
        <w:jc w:val="center"/>
        <w:rPr>
          <w:rFonts w:hint="eastAsia" w:asciiTheme="minorEastAsia" w:hAnsiTheme="minorEastAsia" w:eastAsiaTheme="minorEastAsia" w:cstheme="minorEastAsia"/>
          <w:sz w:val="21"/>
          <w:szCs w:val="21"/>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r>
        <w:rPr>
          <w:rFonts w:hint="eastAsia" w:ascii="宋体" w:hAnsi="宋体" w:cs="宋体"/>
          <w:b/>
          <w:bCs/>
          <w:color w:val="FF0000"/>
          <w:sz w:val="24"/>
          <w:lang w:val="en-US" w:eastAsia="zh-CN"/>
        </w:rPr>
        <w:br w:type="page"/>
      </w:r>
    </w:p>
    <w:p w14:paraId="74141A6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全自动糖化血红蛋白分析仪设备功能要求响应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BE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8B2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4DD0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设备名称：全自动糖化血红蛋白分析仪</w:t>
            </w:r>
          </w:p>
        </w:tc>
      </w:tr>
      <w:tr w14:paraId="306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A8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45C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48C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826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2E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54C9B6">
            <w:pPr>
              <w:pStyle w:val="23"/>
              <w:spacing w:before="49" w:line="277" w:lineRule="auto"/>
              <w:ind w:left="20" w:firstLine="29"/>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测试速度：≤58 S/T</w:t>
            </w:r>
          </w:p>
        </w:tc>
        <w:tc>
          <w:tcPr>
            <w:tcW w:w="3307" w:type="dxa"/>
            <w:tcBorders>
              <w:top w:val="single" w:color="auto" w:sz="4" w:space="0"/>
              <w:left w:val="single" w:color="auto" w:sz="4" w:space="0"/>
              <w:right w:val="single" w:color="auto" w:sz="4" w:space="0"/>
            </w:tcBorders>
            <w:shd w:val="clear" w:color="auto" w:fill="auto"/>
            <w:noWrap w:val="0"/>
            <w:vAlign w:val="top"/>
          </w:tcPr>
          <w:p w14:paraId="134B49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39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54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0D51D3">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检测原理：离子交换高效液相色谱法</w:t>
            </w:r>
            <w:r>
              <w:rPr>
                <w:rFonts w:hint="eastAsia" w:asciiTheme="minorEastAsia" w:hAnsiTheme="minorEastAsia" w:eastAsiaTheme="minorEastAsia" w:cstheme="minorEastAsia"/>
                <w:spacing w:val="-7"/>
                <w:sz w:val="18"/>
                <w:szCs w:val="18"/>
              </w:rPr>
              <w:t>(HPLC)</w:t>
            </w:r>
          </w:p>
        </w:tc>
        <w:tc>
          <w:tcPr>
            <w:tcW w:w="3307" w:type="dxa"/>
            <w:tcBorders>
              <w:top w:val="single" w:color="auto" w:sz="4" w:space="0"/>
              <w:left w:val="single" w:color="auto" w:sz="4" w:space="0"/>
              <w:right w:val="single" w:color="auto" w:sz="4" w:space="0"/>
            </w:tcBorders>
            <w:shd w:val="clear" w:color="auto" w:fill="auto"/>
            <w:noWrap w:val="0"/>
            <w:vAlign w:val="top"/>
          </w:tcPr>
          <w:p w14:paraId="1D577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B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0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6D033F">
            <w:pPr>
              <w:pStyle w:val="23"/>
              <w:spacing w:before="52" w:line="219" w:lineRule="auto"/>
              <w:jc w:val="both"/>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3"/>
                <w:sz w:val="18"/>
                <w:szCs w:val="18"/>
              </w:rPr>
              <w:t>检测模式：糖化血红蛋白检测模式(可</w:t>
            </w:r>
            <w:r>
              <w:rPr>
                <w:rFonts w:hint="eastAsia" w:asciiTheme="minorEastAsia" w:hAnsiTheme="minorEastAsia" w:eastAsiaTheme="minorEastAsia" w:cstheme="minorEastAsia"/>
                <w:spacing w:val="-1"/>
                <w:sz w:val="18"/>
                <w:szCs w:val="18"/>
              </w:rPr>
              <w:t>识别HbE、HbD、HbS、HbC、HbJ</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4"/>
                <w:sz w:val="18"/>
                <w:szCs w:val="18"/>
              </w:rPr>
              <w:t>五种血红蛋白变异体)</w:t>
            </w:r>
          </w:p>
        </w:tc>
        <w:tc>
          <w:tcPr>
            <w:tcW w:w="3307" w:type="dxa"/>
            <w:tcBorders>
              <w:top w:val="single" w:color="auto" w:sz="4" w:space="0"/>
              <w:left w:val="single" w:color="auto" w:sz="4" w:space="0"/>
              <w:right w:val="single" w:color="auto" w:sz="4" w:space="0"/>
            </w:tcBorders>
            <w:shd w:val="clear" w:color="auto" w:fill="auto"/>
            <w:noWrap w:val="0"/>
            <w:vAlign w:val="top"/>
          </w:tcPr>
          <w:p w14:paraId="3248F8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A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67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714931">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9"/>
                <w:sz w:val="18"/>
                <w:szCs w:val="18"/>
              </w:rPr>
              <w:t>报告参数；</w:t>
            </w:r>
            <w:r>
              <w:rPr>
                <w:rFonts w:hint="eastAsia" w:asciiTheme="minorEastAsia" w:hAnsiTheme="minorEastAsia" w:eastAsiaTheme="minorEastAsia" w:cstheme="minorEastAsia"/>
                <w:sz w:val="18"/>
                <w:szCs w:val="18"/>
              </w:rPr>
              <w:t>HbA</w:t>
            </w:r>
            <w:r>
              <w:rPr>
                <w:rFonts w:hint="eastAsia" w:asciiTheme="minorEastAsia" w:hAnsiTheme="minorEastAsia" w:eastAsiaTheme="minorEastAsia" w:cstheme="minorEastAsia"/>
                <w:spacing w:val="9"/>
                <w:sz w:val="18"/>
                <w:szCs w:val="18"/>
              </w:rPr>
              <w:t>1c(可洗脱</w:t>
            </w:r>
            <w:r>
              <w:rPr>
                <w:rFonts w:hint="eastAsia" w:asciiTheme="minorEastAsia" w:hAnsiTheme="minorEastAsia" w:eastAsiaTheme="minorEastAsia" w:cstheme="minorEastAsia"/>
                <w:sz w:val="18"/>
                <w:szCs w:val="18"/>
              </w:rPr>
              <w:t>HbAla</w:t>
            </w:r>
            <w:r>
              <w:rPr>
                <w:rFonts w:hint="eastAsia" w:asciiTheme="minorEastAsia" w:hAnsiTheme="minorEastAsia" w:eastAsiaTheme="minorEastAsia" w:cstheme="minorEastAsia"/>
                <w:spacing w:val="9"/>
                <w:sz w:val="18"/>
                <w:szCs w:val="18"/>
              </w:rPr>
              <w:t>、</w:t>
            </w:r>
            <w:r>
              <w:rPr>
                <w:rFonts w:hint="eastAsia" w:asciiTheme="minorEastAsia" w:hAnsiTheme="minorEastAsia" w:eastAsiaTheme="minorEastAsia" w:cstheme="minorEastAsia"/>
                <w:sz w:val="18"/>
                <w:szCs w:val="18"/>
              </w:rPr>
              <w:t xml:space="preserve"> HbA1b、HbF、LA1c、HbA0、V</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pacing w:val="-1"/>
                <w:sz w:val="18"/>
                <w:szCs w:val="18"/>
              </w:rPr>
              <w:t>Win)</w:t>
            </w:r>
          </w:p>
        </w:tc>
        <w:tc>
          <w:tcPr>
            <w:tcW w:w="3307" w:type="dxa"/>
            <w:tcBorders>
              <w:top w:val="single" w:color="auto" w:sz="4" w:space="0"/>
              <w:left w:val="single" w:color="auto" w:sz="4" w:space="0"/>
              <w:right w:val="single" w:color="auto" w:sz="4" w:space="0"/>
            </w:tcBorders>
            <w:shd w:val="clear" w:color="auto" w:fill="auto"/>
            <w:noWrap w:val="0"/>
            <w:vAlign w:val="top"/>
          </w:tcPr>
          <w:p w14:paraId="18A2E7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49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DD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8BCBB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样本类型：全血、稀释血</w:t>
            </w:r>
          </w:p>
        </w:tc>
        <w:tc>
          <w:tcPr>
            <w:tcW w:w="3307" w:type="dxa"/>
            <w:tcBorders>
              <w:top w:val="single" w:color="auto" w:sz="4" w:space="0"/>
              <w:left w:val="single" w:color="auto" w:sz="4" w:space="0"/>
              <w:right w:val="single" w:color="auto" w:sz="4" w:space="0"/>
            </w:tcBorders>
            <w:shd w:val="clear" w:color="auto" w:fill="auto"/>
            <w:noWrap w:val="0"/>
            <w:vAlign w:val="top"/>
          </w:tcPr>
          <w:p w14:paraId="51195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F3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47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0C38C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进样系统：110个自动进样位，1个急</w:t>
            </w:r>
            <w:r>
              <w:rPr>
                <w:rFonts w:hint="eastAsia" w:asciiTheme="minorEastAsia" w:hAnsiTheme="minorEastAsia" w:eastAsiaTheme="minorEastAsia" w:cstheme="minorEastAsia"/>
                <w:spacing w:val="-3"/>
                <w:sz w:val="18"/>
                <w:szCs w:val="18"/>
              </w:rPr>
              <w:t>诊位</w:t>
            </w:r>
          </w:p>
        </w:tc>
        <w:tc>
          <w:tcPr>
            <w:tcW w:w="3307" w:type="dxa"/>
            <w:tcBorders>
              <w:top w:val="single" w:color="auto" w:sz="4" w:space="0"/>
              <w:left w:val="single" w:color="auto" w:sz="4" w:space="0"/>
              <w:right w:val="single" w:color="auto" w:sz="4" w:space="0"/>
            </w:tcBorders>
            <w:shd w:val="clear" w:color="auto" w:fill="auto"/>
            <w:noWrap w:val="0"/>
            <w:vAlign w:val="top"/>
          </w:tcPr>
          <w:p w14:paraId="33AF99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FB2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EC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9CA220">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试管摇匀功能：仪器支持试管颠倒摇</w:t>
            </w:r>
            <w:r>
              <w:rPr>
                <w:rFonts w:hint="eastAsia" w:asciiTheme="minorEastAsia" w:hAnsiTheme="minorEastAsia" w:eastAsiaTheme="minorEastAsia" w:cstheme="minorEastAsia"/>
                <w:spacing w:val="3"/>
                <w:sz w:val="18"/>
                <w:szCs w:val="18"/>
              </w:rPr>
              <w:t>匀功能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D304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0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D0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A2304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采样量：全血&lt;3μl、稀释血&lt;2μl</w:t>
            </w:r>
          </w:p>
        </w:tc>
        <w:tc>
          <w:tcPr>
            <w:tcW w:w="3307" w:type="dxa"/>
            <w:tcBorders>
              <w:top w:val="single" w:color="auto" w:sz="4" w:space="0"/>
              <w:left w:val="single" w:color="auto" w:sz="4" w:space="0"/>
              <w:right w:val="single" w:color="auto" w:sz="4" w:space="0"/>
            </w:tcBorders>
            <w:shd w:val="clear" w:color="auto" w:fill="auto"/>
            <w:noWrap w:val="0"/>
            <w:vAlign w:val="top"/>
          </w:tcPr>
          <w:p w14:paraId="349CE6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8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1B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CBFF7">
            <w:pPr>
              <w:pStyle w:val="20"/>
              <w:numPr>
                <w:ilvl w:val="0"/>
                <w:numId w:val="0"/>
              </w:numPr>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检测范围：2.8%~20.5%</w:t>
            </w:r>
          </w:p>
        </w:tc>
        <w:tc>
          <w:tcPr>
            <w:tcW w:w="3307" w:type="dxa"/>
            <w:tcBorders>
              <w:top w:val="single" w:color="auto" w:sz="4" w:space="0"/>
              <w:left w:val="single" w:color="auto" w:sz="4" w:space="0"/>
              <w:right w:val="single" w:color="auto" w:sz="4" w:space="0"/>
            </w:tcBorders>
            <w:shd w:val="clear" w:color="auto" w:fill="auto"/>
            <w:noWrap w:val="0"/>
            <w:vAlign w:val="top"/>
          </w:tcPr>
          <w:p w14:paraId="1369B5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9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2F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34F0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9C5B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774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13B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39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20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0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81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F2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B0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077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30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8B9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6C8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3"/>
                <w:sz w:val="18"/>
                <w:szCs w:val="18"/>
              </w:rPr>
              <w:t>主机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F28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A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39A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986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z w:val="18"/>
                <w:szCs w:val="18"/>
              </w:rPr>
              <w:t>电源：a.c.100V~240V,50Hz/60Hz</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D45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D7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B62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B4BC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423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A2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D8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A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DD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ADD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4B4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F65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BB8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8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A9B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B27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CE3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5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32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791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37A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B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C75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E3ED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574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4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B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978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C84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AC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BF31E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73DF0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8A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1A2ACD">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6044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D5D9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674C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27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0BFF9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25EA7E59">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检测原理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5BAC576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3"/>
                <w:sz w:val="18"/>
                <w:szCs w:val="18"/>
              </w:rPr>
              <w:t>离子交换高效液相色谱法(</w:t>
            </w:r>
            <w:r>
              <w:rPr>
                <w:rFonts w:hint="eastAsia" w:asciiTheme="minorEastAsia" w:hAnsiTheme="minorEastAsia" w:eastAsiaTheme="minorEastAsia" w:cstheme="minorEastAsia"/>
                <w:sz w:val="18"/>
                <w:szCs w:val="18"/>
              </w:rPr>
              <w:t>HPLC</w:t>
            </w:r>
            <w:r>
              <w:rPr>
                <w:rFonts w:hint="eastAsia" w:asciiTheme="minorEastAsia" w:hAnsiTheme="minorEastAsia" w:eastAsiaTheme="minorEastAsia" w:cstheme="minorEastAsia"/>
                <w:spacing w:val="3"/>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745440D5">
            <w:pPr>
              <w:jc w:val="center"/>
              <w:rPr>
                <w:rFonts w:hint="eastAsia" w:asciiTheme="minorEastAsia" w:hAnsiTheme="minorEastAsia" w:eastAsiaTheme="minorEastAsia" w:cstheme="minorEastAsia"/>
                <w:sz w:val="18"/>
                <w:szCs w:val="18"/>
              </w:rPr>
            </w:pPr>
          </w:p>
        </w:tc>
      </w:tr>
      <w:tr w14:paraId="07C2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AFCB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2CC8706E">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5"/>
                <w:sz w:val="18"/>
                <w:szCs w:val="18"/>
              </w:rPr>
              <w:t>显示屏</w:t>
            </w:r>
          </w:p>
        </w:tc>
        <w:tc>
          <w:tcPr>
            <w:tcW w:w="4178" w:type="dxa"/>
            <w:tcBorders>
              <w:top w:val="single" w:color="auto" w:sz="4" w:space="0"/>
              <w:left w:val="single" w:color="auto" w:sz="4" w:space="0"/>
              <w:bottom w:val="single" w:color="auto" w:sz="4" w:space="0"/>
              <w:right w:val="single" w:color="auto" w:sz="4" w:space="0"/>
            </w:tcBorders>
            <w:noWrap/>
            <w:vAlign w:val="center"/>
          </w:tcPr>
          <w:p w14:paraId="16B7678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10.1英寸彩色液晶触摸屏</w:t>
            </w:r>
          </w:p>
        </w:tc>
        <w:tc>
          <w:tcPr>
            <w:tcW w:w="1556" w:type="dxa"/>
            <w:tcBorders>
              <w:top w:val="single" w:color="auto" w:sz="4" w:space="0"/>
              <w:left w:val="single" w:color="auto" w:sz="4" w:space="0"/>
              <w:bottom w:val="single" w:color="auto" w:sz="4" w:space="0"/>
              <w:right w:val="single" w:color="auto" w:sz="4" w:space="0"/>
            </w:tcBorders>
            <w:noWrap/>
            <w:vAlign w:val="center"/>
          </w:tcPr>
          <w:p w14:paraId="5EA04F92">
            <w:pPr>
              <w:jc w:val="center"/>
              <w:rPr>
                <w:rFonts w:hint="eastAsia" w:asciiTheme="minorEastAsia" w:hAnsiTheme="minorEastAsia" w:eastAsiaTheme="minorEastAsia" w:cstheme="minorEastAsia"/>
                <w:sz w:val="18"/>
                <w:szCs w:val="18"/>
              </w:rPr>
            </w:pPr>
          </w:p>
        </w:tc>
      </w:tr>
      <w:tr w14:paraId="2173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1E37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1B8EFF46">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检测模式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29E6AFB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糖化血红蛋白检测模式(可识别</w:t>
            </w:r>
            <w:r>
              <w:rPr>
                <w:rFonts w:hint="eastAsia" w:asciiTheme="minorEastAsia" w:hAnsiTheme="minorEastAsia" w:eastAsiaTheme="minorEastAsia" w:cstheme="minorEastAsia"/>
                <w:sz w:val="18"/>
                <w:szCs w:val="18"/>
              </w:rPr>
              <w:t>HbE</w:t>
            </w:r>
            <w:r>
              <w:rPr>
                <w:rFonts w:hint="eastAsia" w:asciiTheme="minorEastAsia" w:hAnsiTheme="minorEastAsia" w:eastAsiaTheme="minorEastAsia" w:cstheme="minorEastAsia"/>
                <w:spacing w:val="7"/>
                <w:sz w:val="18"/>
                <w:szCs w:val="18"/>
              </w:rPr>
              <w:t>、</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1"/>
                <w:sz w:val="18"/>
                <w:szCs w:val="18"/>
              </w:rPr>
              <w:t>HbD、HbS、HbC、HbJ五种血红蛋白变</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6"/>
                <w:sz w:val="18"/>
                <w:szCs w:val="18"/>
              </w:rPr>
              <w:t>异体)</w:t>
            </w:r>
          </w:p>
        </w:tc>
        <w:tc>
          <w:tcPr>
            <w:tcW w:w="1556" w:type="dxa"/>
            <w:tcBorders>
              <w:top w:val="single" w:color="auto" w:sz="4" w:space="0"/>
              <w:left w:val="single" w:color="auto" w:sz="4" w:space="0"/>
              <w:bottom w:val="single" w:color="auto" w:sz="4" w:space="0"/>
              <w:right w:val="single" w:color="auto" w:sz="4" w:space="0"/>
            </w:tcBorders>
            <w:noWrap/>
            <w:vAlign w:val="center"/>
          </w:tcPr>
          <w:p w14:paraId="11294488">
            <w:pPr>
              <w:jc w:val="center"/>
              <w:rPr>
                <w:rFonts w:hint="eastAsia" w:asciiTheme="minorEastAsia" w:hAnsiTheme="minorEastAsia" w:eastAsiaTheme="minorEastAsia" w:cstheme="minorEastAsia"/>
                <w:sz w:val="18"/>
                <w:szCs w:val="18"/>
              </w:rPr>
            </w:pPr>
          </w:p>
        </w:tc>
      </w:tr>
      <w:tr w14:paraId="0E32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AC41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19577CBC">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样本类型</w:t>
            </w:r>
          </w:p>
        </w:tc>
        <w:tc>
          <w:tcPr>
            <w:tcW w:w="4178" w:type="dxa"/>
            <w:tcBorders>
              <w:top w:val="single" w:color="auto" w:sz="4" w:space="0"/>
              <w:left w:val="single" w:color="auto" w:sz="4" w:space="0"/>
              <w:bottom w:val="single" w:color="auto" w:sz="4" w:space="0"/>
              <w:right w:val="single" w:color="auto" w:sz="4" w:space="0"/>
            </w:tcBorders>
            <w:noWrap/>
            <w:vAlign w:val="center"/>
          </w:tcPr>
          <w:p w14:paraId="28F265D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全血、稀释血</w:t>
            </w:r>
          </w:p>
        </w:tc>
        <w:tc>
          <w:tcPr>
            <w:tcW w:w="1556" w:type="dxa"/>
            <w:tcBorders>
              <w:top w:val="single" w:color="auto" w:sz="4" w:space="0"/>
              <w:left w:val="single" w:color="auto" w:sz="4" w:space="0"/>
              <w:bottom w:val="single" w:color="auto" w:sz="4" w:space="0"/>
              <w:right w:val="single" w:color="auto" w:sz="4" w:space="0"/>
            </w:tcBorders>
            <w:noWrap/>
            <w:vAlign w:val="center"/>
          </w:tcPr>
          <w:p w14:paraId="276F6F47">
            <w:pPr>
              <w:jc w:val="center"/>
              <w:rPr>
                <w:rFonts w:hint="eastAsia" w:asciiTheme="minorEastAsia" w:hAnsiTheme="minorEastAsia" w:eastAsiaTheme="minorEastAsia" w:cstheme="minorEastAsia"/>
                <w:sz w:val="18"/>
                <w:szCs w:val="18"/>
              </w:rPr>
            </w:pPr>
          </w:p>
        </w:tc>
      </w:tr>
      <w:tr w14:paraId="0E1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878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246F18D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进样系统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150A5F1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≥110个自动进样位，≥个急诊位</w:t>
            </w:r>
          </w:p>
        </w:tc>
        <w:tc>
          <w:tcPr>
            <w:tcW w:w="1556" w:type="dxa"/>
            <w:tcBorders>
              <w:top w:val="single" w:color="auto" w:sz="4" w:space="0"/>
              <w:left w:val="single" w:color="auto" w:sz="4" w:space="0"/>
              <w:bottom w:val="single" w:color="auto" w:sz="4" w:space="0"/>
              <w:right w:val="single" w:color="auto" w:sz="4" w:space="0"/>
            </w:tcBorders>
            <w:noWrap/>
            <w:vAlign w:val="center"/>
          </w:tcPr>
          <w:p w14:paraId="4EAFB2FA">
            <w:pPr>
              <w:jc w:val="center"/>
              <w:rPr>
                <w:rFonts w:hint="eastAsia" w:asciiTheme="minorEastAsia" w:hAnsiTheme="minorEastAsia" w:eastAsiaTheme="minorEastAsia" w:cstheme="minorEastAsia"/>
                <w:sz w:val="18"/>
                <w:szCs w:val="18"/>
              </w:rPr>
            </w:pPr>
          </w:p>
        </w:tc>
      </w:tr>
      <w:tr w14:paraId="70A1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4295E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0B404F40">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测试速度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178EA565">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最快检测速度&lt;58s/T</w:t>
            </w:r>
          </w:p>
        </w:tc>
        <w:tc>
          <w:tcPr>
            <w:tcW w:w="1556" w:type="dxa"/>
            <w:tcBorders>
              <w:top w:val="single" w:color="auto" w:sz="4" w:space="0"/>
              <w:left w:val="single" w:color="auto" w:sz="4" w:space="0"/>
              <w:bottom w:val="single" w:color="auto" w:sz="4" w:space="0"/>
              <w:right w:val="single" w:color="auto" w:sz="4" w:space="0"/>
            </w:tcBorders>
            <w:noWrap/>
            <w:vAlign w:val="center"/>
          </w:tcPr>
          <w:p w14:paraId="023B0268">
            <w:pPr>
              <w:jc w:val="center"/>
              <w:rPr>
                <w:rFonts w:hint="eastAsia" w:asciiTheme="minorEastAsia" w:hAnsiTheme="minorEastAsia" w:eastAsiaTheme="minorEastAsia" w:cstheme="minorEastAsia"/>
                <w:sz w:val="18"/>
                <w:szCs w:val="18"/>
              </w:rPr>
            </w:pPr>
          </w:p>
        </w:tc>
      </w:tr>
      <w:tr w14:paraId="56B5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EDBE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67EB6C9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报告参数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6DD2AE01">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rPr>
              <w:t>HbAlc</w:t>
            </w:r>
            <w:r>
              <w:rPr>
                <w:rFonts w:hint="eastAsia" w:asciiTheme="minorEastAsia" w:hAnsiTheme="minorEastAsia" w:eastAsiaTheme="minorEastAsia" w:cstheme="minorEastAsia"/>
                <w:spacing w:val="12"/>
                <w:sz w:val="18"/>
                <w:szCs w:val="18"/>
              </w:rPr>
              <w:t>(可洗脱</w:t>
            </w:r>
            <w:r>
              <w:rPr>
                <w:rFonts w:hint="eastAsia" w:asciiTheme="minorEastAsia" w:hAnsiTheme="minorEastAsia" w:eastAsiaTheme="minorEastAsia" w:cstheme="minorEastAsia"/>
                <w:sz w:val="18"/>
                <w:szCs w:val="18"/>
              </w:rPr>
              <w:t>HbAla</w:t>
            </w:r>
            <w:r>
              <w:rPr>
                <w:rFonts w:hint="eastAsia" w:asciiTheme="minorEastAsia" w:hAnsiTheme="minorEastAsia" w:eastAsiaTheme="minorEastAsia" w:cstheme="minorEastAsia"/>
                <w:spacing w:val="12"/>
                <w:sz w:val="18"/>
                <w:szCs w:val="18"/>
              </w:rPr>
              <w:t>、</w:t>
            </w:r>
            <w:r>
              <w:rPr>
                <w:rFonts w:hint="eastAsia" w:asciiTheme="minorEastAsia" w:hAnsiTheme="minorEastAsia" w:eastAsiaTheme="minorEastAsia" w:cstheme="minorEastAsia"/>
                <w:sz w:val="18"/>
                <w:szCs w:val="18"/>
              </w:rPr>
              <w:t>HbA</w:t>
            </w:r>
            <w:r>
              <w:rPr>
                <w:rFonts w:hint="eastAsia" w:asciiTheme="minorEastAsia" w:hAnsiTheme="minorEastAsia" w:eastAsiaTheme="minorEastAsia" w:cstheme="minorEastAsia"/>
                <w:spacing w:val="12"/>
                <w:sz w:val="18"/>
                <w:szCs w:val="18"/>
              </w:rPr>
              <w:t>1b、</w:t>
            </w:r>
            <w:r>
              <w:rPr>
                <w:rFonts w:hint="eastAsia" w:asciiTheme="minorEastAsia" w:hAnsiTheme="minorEastAsia" w:eastAsiaTheme="minorEastAsia" w:cstheme="minorEastAsia"/>
                <w:sz w:val="18"/>
                <w:szCs w:val="18"/>
              </w:rPr>
              <w:t>HbF</w:t>
            </w:r>
            <w:r>
              <w:rPr>
                <w:rFonts w:hint="eastAsia" w:asciiTheme="minorEastAsia" w:hAnsiTheme="minorEastAsia" w:eastAsiaTheme="minorEastAsia" w:cstheme="minorEastAsia"/>
                <w:spacing w:val="12"/>
                <w:sz w:val="18"/>
                <w:szCs w:val="18"/>
              </w:rPr>
              <w:t>、</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1"/>
                <w:sz w:val="18"/>
                <w:szCs w:val="18"/>
              </w:rPr>
              <w:t>LA</w:t>
            </w:r>
            <w:r>
              <w:rPr>
                <w:rFonts w:hint="eastAsia" w:asciiTheme="minorEastAsia" w:hAnsiTheme="minorEastAsia" w:eastAsiaTheme="minorEastAsia" w:cstheme="minorEastAsia"/>
                <w:spacing w:val="-1"/>
                <w:sz w:val="18"/>
                <w:szCs w:val="18"/>
                <w:lang w:val="en-US" w:eastAsia="zh-CN"/>
              </w:rPr>
              <w:t>l</w:t>
            </w:r>
            <w:r>
              <w:rPr>
                <w:rFonts w:hint="eastAsia" w:asciiTheme="minorEastAsia" w:hAnsiTheme="minorEastAsia" w:eastAsiaTheme="minorEastAsia" w:cstheme="minorEastAsia"/>
                <w:spacing w:val="-1"/>
                <w:sz w:val="18"/>
                <w:szCs w:val="18"/>
              </w:rPr>
              <w:t>c、HbA0、V</w:t>
            </w:r>
            <w:r>
              <w:rPr>
                <w:rFonts w:hint="eastAsia" w:asciiTheme="minorEastAsia" w:hAnsiTheme="minorEastAsia" w:eastAsiaTheme="minorEastAsia" w:cstheme="minorEastAsia"/>
                <w:spacing w:val="-1"/>
                <w:sz w:val="18"/>
                <w:szCs w:val="18"/>
                <w:lang w:val="en-US" w:eastAsia="zh-CN"/>
              </w:rPr>
              <w:t xml:space="preserve"> </w:t>
            </w:r>
            <w:r>
              <w:rPr>
                <w:rFonts w:hint="eastAsia" w:asciiTheme="minorEastAsia" w:hAnsiTheme="minorEastAsia" w:eastAsiaTheme="minorEastAsia" w:cstheme="minorEastAsia"/>
                <w:spacing w:val="-1"/>
                <w:sz w:val="18"/>
                <w:szCs w:val="18"/>
              </w:rPr>
              <w:t>Win)</w:t>
            </w:r>
          </w:p>
        </w:tc>
        <w:tc>
          <w:tcPr>
            <w:tcW w:w="1556" w:type="dxa"/>
            <w:tcBorders>
              <w:top w:val="single" w:color="auto" w:sz="4" w:space="0"/>
              <w:left w:val="single" w:color="auto" w:sz="4" w:space="0"/>
              <w:bottom w:val="single" w:color="auto" w:sz="4" w:space="0"/>
              <w:right w:val="single" w:color="auto" w:sz="4" w:space="0"/>
            </w:tcBorders>
            <w:noWrap/>
            <w:vAlign w:val="center"/>
          </w:tcPr>
          <w:p w14:paraId="35369B69">
            <w:pPr>
              <w:jc w:val="center"/>
              <w:rPr>
                <w:rFonts w:hint="eastAsia" w:asciiTheme="minorEastAsia" w:hAnsiTheme="minorEastAsia" w:eastAsiaTheme="minorEastAsia" w:cstheme="minorEastAsia"/>
                <w:sz w:val="18"/>
                <w:szCs w:val="18"/>
              </w:rPr>
            </w:pPr>
          </w:p>
        </w:tc>
      </w:tr>
      <w:tr w14:paraId="62C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CD5A2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3FB42810">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结果报告单位</w:t>
            </w:r>
          </w:p>
        </w:tc>
        <w:tc>
          <w:tcPr>
            <w:tcW w:w="4178" w:type="dxa"/>
            <w:tcBorders>
              <w:top w:val="single" w:color="auto" w:sz="4" w:space="0"/>
              <w:left w:val="single" w:color="auto" w:sz="4" w:space="0"/>
              <w:bottom w:val="single" w:color="auto" w:sz="4" w:space="0"/>
              <w:right w:val="single" w:color="auto" w:sz="4" w:space="0"/>
            </w:tcBorders>
            <w:noWrap/>
            <w:vAlign w:val="center"/>
          </w:tcPr>
          <w:p w14:paraId="6DD866B2">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2"/>
                <w:sz w:val="18"/>
                <w:szCs w:val="18"/>
              </w:rPr>
              <w:t>可报告</w:t>
            </w:r>
            <w:r>
              <w:rPr>
                <w:rFonts w:hint="eastAsia" w:asciiTheme="minorEastAsia" w:hAnsiTheme="minorEastAsia" w:eastAsiaTheme="minorEastAsia" w:cstheme="minorEastAsia"/>
                <w:sz w:val="18"/>
                <w:szCs w:val="18"/>
              </w:rPr>
              <w:t>IFCC</w:t>
            </w:r>
            <w:r>
              <w:rPr>
                <w:rFonts w:hint="eastAsia" w:asciiTheme="minorEastAsia" w:hAnsiTheme="minorEastAsia" w:eastAsiaTheme="minorEastAsia" w:cstheme="minorEastAsia"/>
                <w:spacing w:val="2"/>
                <w:sz w:val="18"/>
                <w:szCs w:val="18"/>
              </w:rPr>
              <w:t>/</w:t>
            </w:r>
            <w:r>
              <w:rPr>
                <w:rFonts w:hint="eastAsia" w:asciiTheme="minorEastAsia" w:hAnsiTheme="minorEastAsia" w:eastAsiaTheme="minorEastAsia" w:cstheme="minorEastAsia"/>
                <w:sz w:val="18"/>
                <w:szCs w:val="18"/>
              </w:rPr>
              <w:t>NGSP</w:t>
            </w:r>
            <w:r>
              <w:rPr>
                <w:rFonts w:hint="eastAsia" w:asciiTheme="minorEastAsia" w:hAnsiTheme="minorEastAsia" w:eastAsiaTheme="minorEastAsia" w:cstheme="minorEastAsia"/>
                <w:spacing w:val="2"/>
                <w:sz w:val="18"/>
                <w:szCs w:val="18"/>
              </w:rPr>
              <w:t>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1E48C5AA">
            <w:pPr>
              <w:jc w:val="center"/>
              <w:rPr>
                <w:rFonts w:hint="eastAsia" w:asciiTheme="minorEastAsia" w:hAnsiTheme="minorEastAsia" w:eastAsiaTheme="minorEastAsia" w:cstheme="minorEastAsia"/>
                <w:sz w:val="18"/>
                <w:szCs w:val="18"/>
              </w:rPr>
            </w:pPr>
          </w:p>
        </w:tc>
      </w:tr>
      <w:tr w14:paraId="2227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32F9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5146076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重复性</w:t>
            </w:r>
          </w:p>
        </w:tc>
        <w:tc>
          <w:tcPr>
            <w:tcW w:w="4178" w:type="dxa"/>
            <w:tcBorders>
              <w:top w:val="single" w:color="auto" w:sz="4" w:space="0"/>
              <w:left w:val="single" w:color="auto" w:sz="4" w:space="0"/>
              <w:bottom w:val="single" w:color="auto" w:sz="4" w:space="0"/>
              <w:right w:val="single" w:color="auto" w:sz="4" w:space="0"/>
            </w:tcBorders>
            <w:noWrap/>
            <w:vAlign w:val="center"/>
          </w:tcPr>
          <w:p w14:paraId="29D6BDCB">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CV&lt;1.0%</w:t>
            </w:r>
          </w:p>
        </w:tc>
        <w:tc>
          <w:tcPr>
            <w:tcW w:w="1556" w:type="dxa"/>
            <w:tcBorders>
              <w:top w:val="single" w:color="auto" w:sz="4" w:space="0"/>
              <w:left w:val="single" w:color="auto" w:sz="4" w:space="0"/>
              <w:bottom w:val="single" w:color="auto" w:sz="4" w:space="0"/>
              <w:right w:val="single" w:color="auto" w:sz="4" w:space="0"/>
            </w:tcBorders>
            <w:noWrap/>
            <w:vAlign w:val="center"/>
          </w:tcPr>
          <w:p w14:paraId="7866F473">
            <w:pPr>
              <w:jc w:val="center"/>
              <w:rPr>
                <w:rFonts w:hint="eastAsia" w:asciiTheme="minorEastAsia" w:hAnsiTheme="minorEastAsia" w:eastAsiaTheme="minorEastAsia" w:cstheme="minorEastAsia"/>
                <w:sz w:val="18"/>
                <w:szCs w:val="18"/>
              </w:rPr>
            </w:pPr>
          </w:p>
        </w:tc>
      </w:tr>
      <w:tr w14:paraId="7BB0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36003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754E47A9">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5"/>
                <w:sz w:val="18"/>
                <w:szCs w:val="18"/>
              </w:rPr>
              <w:t>检测范围</w:t>
            </w:r>
          </w:p>
        </w:tc>
        <w:tc>
          <w:tcPr>
            <w:tcW w:w="4178" w:type="dxa"/>
            <w:tcBorders>
              <w:top w:val="single" w:color="auto" w:sz="4" w:space="0"/>
              <w:left w:val="single" w:color="auto" w:sz="4" w:space="0"/>
              <w:bottom w:val="single" w:color="auto" w:sz="4" w:space="0"/>
              <w:right w:val="single" w:color="auto" w:sz="4" w:space="0"/>
            </w:tcBorders>
            <w:noWrap/>
            <w:vAlign w:val="center"/>
          </w:tcPr>
          <w:p w14:paraId="788485E5">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2.8%~20.5%</w:t>
            </w:r>
          </w:p>
        </w:tc>
        <w:tc>
          <w:tcPr>
            <w:tcW w:w="1556" w:type="dxa"/>
            <w:tcBorders>
              <w:top w:val="single" w:color="auto" w:sz="4" w:space="0"/>
              <w:left w:val="single" w:color="auto" w:sz="4" w:space="0"/>
              <w:bottom w:val="single" w:color="auto" w:sz="4" w:space="0"/>
              <w:right w:val="single" w:color="auto" w:sz="4" w:space="0"/>
            </w:tcBorders>
            <w:noWrap/>
            <w:vAlign w:val="center"/>
          </w:tcPr>
          <w:p w14:paraId="4BABC587">
            <w:pPr>
              <w:jc w:val="center"/>
              <w:rPr>
                <w:rFonts w:hint="eastAsia" w:asciiTheme="minorEastAsia" w:hAnsiTheme="minorEastAsia" w:eastAsiaTheme="minorEastAsia" w:cstheme="minorEastAsia"/>
                <w:sz w:val="18"/>
                <w:szCs w:val="18"/>
              </w:rPr>
            </w:pPr>
          </w:p>
        </w:tc>
      </w:tr>
      <w:tr w14:paraId="0EE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CF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311343DB">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4"/>
                <w:sz w:val="18"/>
                <w:szCs w:val="18"/>
              </w:rPr>
              <w:t>准确度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27113FB8">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2"/>
                <w:sz w:val="18"/>
                <w:szCs w:val="18"/>
              </w:rPr>
              <w:t>相对偏差</w:t>
            </w:r>
            <w:r>
              <w:rPr>
                <w:rFonts w:hint="eastAsia" w:asciiTheme="minorEastAsia" w:hAnsiTheme="minorEastAsia" w:eastAsiaTheme="minorEastAsia" w:cstheme="minorEastAsia"/>
                <w:spacing w:val="-2"/>
                <w:sz w:val="18"/>
                <w:szCs w:val="18"/>
                <w:lang w:val="en-US" w:eastAsia="zh-CN"/>
              </w:rPr>
              <w:t>±</w:t>
            </w:r>
            <w:r>
              <w:rPr>
                <w:rFonts w:hint="eastAsia" w:asciiTheme="minorEastAsia" w:hAnsiTheme="minorEastAsia" w:eastAsiaTheme="minorEastAsia" w:cstheme="minorEastAsia"/>
                <w:spacing w:val="-2"/>
                <w:sz w:val="18"/>
                <w:szCs w:val="18"/>
              </w:rPr>
              <w:t>3%</w:t>
            </w:r>
          </w:p>
        </w:tc>
        <w:tc>
          <w:tcPr>
            <w:tcW w:w="1556" w:type="dxa"/>
            <w:tcBorders>
              <w:top w:val="single" w:color="auto" w:sz="4" w:space="0"/>
              <w:left w:val="single" w:color="auto" w:sz="4" w:space="0"/>
              <w:bottom w:val="single" w:color="auto" w:sz="4" w:space="0"/>
              <w:right w:val="single" w:color="auto" w:sz="4" w:space="0"/>
            </w:tcBorders>
            <w:noWrap/>
            <w:vAlign w:val="center"/>
          </w:tcPr>
          <w:p w14:paraId="738ECF7C">
            <w:pPr>
              <w:jc w:val="center"/>
              <w:rPr>
                <w:rFonts w:hint="eastAsia" w:asciiTheme="minorEastAsia" w:hAnsiTheme="minorEastAsia" w:eastAsiaTheme="minorEastAsia" w:cstheme="minorEastAsia"/>
                <w:sz w:val="18"/>
                <w:szCs w:val="18"/>
              </w:rPr>
            </w:pPr>
          </w:p>
        </w:tc>
      </w:tr>
      <w:tr w14:paraId="192C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38DC9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center"/>
          </w:tcPr>
          <w:p w14:paraId="42572A23">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携带污染率</w:t>
            </w:r>
          </w:p>
        </w:tc>
        <w:tc>
          <w:tcPr>
            <w:tcW w:w="4178" w:type="dxa"/>
            <w:tcBorders>
              <w:top w:val="single" w:color="auto" w:sz="4" w:space="0"/>
              <w:left w:val="single" w:color="auto" w:sz="4" w:space="0"/>
              <w:bottom w:val="single" w:color="auto" w:sz="4" w:space="0"/>
              <w:right w:val="single" w:color="auto" w:sz="4" w:space="0"/>
            </w:tcBorders>
            <w:noWrap/>
            <w:vAlign w:val="center"/>
          </w:tcPr>
          <w:p w14:paraId="00D5CD92">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4"/>
                <w:sz w:val="18"/>
                <w:szCs w:val="18"/>
              </w:rPr>
              <w:t>≤1.5%</w:t>
            </w:r>
          </w:p>
        </w:tc>
        <w:tc>
          <w:tcPr>
            <w:tcW w:w="1556" w:type="dxa"/>
            <w:tcBorders>
              <w:top w:val="single" w:color="auto" w:sz="4" w:space="0"/>
              <w:left w:val="single" w:color="auto" w:sz="4" w:space="0"/>
              <w:bottom w:val="single" w:color="auto" w:sz="4" w:space="0"/>
              <w:right w:val="single" w:color="auto" w:sz="4" w:space="0"/>
            </w:tcBorders>
            <w:noWrap/>
            <w:vAlign w:val="center"/>
          </w:tcPr>
          <w:p w14:paraId="6EB75C16">
            <w:pPr>
              <w:jc w:val="center"/>
              <w:rPr>
                <w:rFonts w:hint="eastAsia" w:asciiTheme="minorEastAsia" w:hAnsiTheme="minorEastAsia" w:eastAsiaTheme="minorEastAsia" w:cstheme="minorEastAsia"/>
                <w:sz w:val="18"/>
                <w:szCs w:val="18"/>
              </w:rPr>
            </w:pPr>
          </w:p>
        </w:tc>
      </w:tr>
      <w:tr w14:paraId="589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4E0C4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center"/>
          </w:tcPr>
          <w:p w14:paraId="6F12B185">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采样量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19BBF3EC">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全血&lt;3μl、稀释血&lt;2μl</w:t>
            </w:r>
          </w:p>
        </w:tc>
        <w:tc>
          <w:tcPr>
            <w:tcW w:w="1556" w:type="dxa"/>
            <w:tcBorders>
              <w:top w:val="single" w:color="auto" w:sz="4" w:space="0"/>
              <w:left w:val="single" w:color="auto" w:sz="4" w:space="0"/>
              <w:bottom w:val="single" w:color="auto" w:sz="4" w:space="0"/>
              <w:right w:val="single" w:color="auto" w:sz="4" w:space="0"/>
            </w:tcBorders>
            <w:noWrap/>
            <w:vAlign w:val="center"/>
          </w:tcPr>
          <w:p w14:paraId="56AFF7DE">
            <w:pPr>
              <w:jc w:val="center"/>
              <w:rPr>
                <w:rFonts w:hint="eastAsia" w:asciiTheme="minorEastAsia" w:hAnsiTheme="minorEastAsia" w:eastAsiaTheme="minorEastAsia" w:cstheme="minorEastAsia"/>
                <w:sz w:val="18"/>
                <w:szCs w:val="18"/>
              </w:rPr>
            </w:pPr>
          </w:p>
        </w:tc>
      </w:tr>
      <w:tr w14:paraId="7854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AE3239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center"/>
          </w:tcPr>
          <w:p w14:paraId="6A5C228D">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1"/>
                <w:sz w:val="18"/>
                <w:szCs w:val="18"/>
              </w:rPr>
              <w:t>样本类型测试模式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0E091DEF">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能提供常规全血模式、贫血模式、稀释血</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模式三种样本类型测试模式</w:t>
            </w:r>
          </w:p>
        </w:tc>
        <w:tc>
          <w:tcPr>
            <w:tcW w:w="1556" w:type="dxa"/>
            <w:tcBorders>
              <w:top w:val="single" w:color="auto" w:sz="4" w:space="0"/>
              <w:left w:val="single" w:color="auto" w:sz="4" w:space="0"/>
              <w:bottom w:val="single" w:color="auto" w:sz="4" w:space="0"/>
              <w:right w:val="single" w:color="auto" w:sz="4" w:space="0"/>
            </w:tcBorders>
            <w:noWrap/>
            <w:vAlign w:val="center"/>
          </w:tcPr>
          <w:p w14:paraId="42C2DA86">
            <w:pPr>
              <w:jc w:val="center"/>
              <w:rPr>
                <w:rFonts w:hint="eastAsia" w:asciiTheme="minorEastAsia" w:hAnsiTheme="minorEastAsia" w:eastAsiaTheme="minorEastAsia" w:cstheme="minorEastAsia"/>
                <w:sz w:val="18"/>
                <w:szCs w:val="18"/>
              </w:rPr>
            </w:pPr>
          </w:p>
        </w:tc>
      </w:tr>
      <w:tr w14:paraId="6060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4F0C4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6.15</w:t>
            </w:r>
          </w:p>
        </w:tc>
        <w:tc>
          <w:tcPr>
            <w:tcW w:w="1869" w:type="dxa"/>
            <w:tcBorders>
              <w:top w:val="single" w:color="auto" w:sz="4" w:space="0"/>
              <w:left w:val="single" w:color="auto" w:sz="4" w:space="0"/>
              <w:bottom w:val="single" w:color="auto" w:sz="4" w:space="0"/>
              <w:right w:val="single" w:color="auto" w:sz="4" w:space="0"/>
            </w:tcBorders>
            <w:noWrap/>
            <w:vAlign w:val="center"/>
          </w:tcPr>
          <w:p w14:paraId="02156B45">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样本管规格</w:t>
            </w:r>
          </w:p>
        </w:tc>
        <w:tc>
          <w:tcPr>
            <w:tcW w:w="4178" w:type="dxa"/>
            <w:tcBorders>
              <w:top w:val="single" w:color="auto" w:sz="4" w:space="0"/>
              <w:left w:val="single" w:color="auto" w:sz="4" w:space="0"/>
              <w:bottom w:val="single" w:color="auto" w:sz="4" w:space="0"/>
              <w:right w:val="single" w:color="auto" w:sz="4" w:space="0"/>
            </w:tcBorders>
            <w:noWrap/>
            <w:vAlign w:val="center"/>
          </w:tcPr>
          <w:p w14:paraId="632F2FA7">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静脉采血管宽◎ 12~15mm;高75~100mm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6AAAFAB">
            <w:pPr>
              <w:jc w:val="center"/>
              <w:rPr>
                <w:rFonts w:hint="eastAsia" w:asciiTheme="minorEastAsia" w:hAnsiTheme="minorEastAsia" w:eastAsiaTheme="minorEastAsia" w:cstheme="minorEastAsia"/>
                <w:sz w:val="18"/>
                <w:szCs w:val="18"/>
              </w:rPr>
            </w:pPr>
          </w:p>
        </w:tc>
      </w:tr>
      <w:tr w14:paraId="1EA0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13C86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6.16</w:t>
            </w:r>
          </w:p>
        </w:tc>
        <w:tc>
          <w:tcPr>
            <w:tcW w:w="1869" w:type="dxa"/>
            <w:tcBorders>
              <w:top w:val="single" w:color="auto" w:sz="4" w:space="0"/>
              <w:left w:val="single" w:color="auto" w:sz="4" w:space="0"/>
              <w:bottom w:val="single" w:color="auto" w:sz="4" w:space="0"/>
              <w:right w:val="single" w:color="auto" w:sz="4" w:space="0"/>
            </w:tcBorders>
            <w:noWrap/>
            <w:vAlign w:val="center"/>
          </w:tcPr>
          <w:p w14:paraId="754AB80D">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3"/>
                <w:sz w:val="18"/>
                <w:szCs w:val="18"/>
              </w:rPr>
              <w:t>条码扫描</w:t>
            </w:r>
          </w:p>
        </w:tc>
        <w:tc>
          <w:tcPr>
            <w:tcW w:w="4178" w:type="dxa"/>
            <w:tcBorders>
              <w:top w:val="single" w:color="auto" w:sz="4" w:space="0"/>
              <w:left w:val="single" w:color="auto" w:sz="4" w:space="0"/>
              <w:bottom w:val="single" w:color="auto" w:sz="4" w:space="0"/>
              <w:right w:val="single" w:color="auto" w:sz="4" w:space="0"/>
            </w:tcBorders>
            <w:noWrap/>
            <w:vAlign w:val="center"/>
          </w:tcPr>
          <w:p w14:paraId="63DA686D">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系统支持旋转扫描条形码功能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6A92DCEC">
            <w:pPr>
              <w:jc w:val="center"/>
              <w:rPr>
                <w:rFonts w:hint="eastAsia" w:asciiTheme="minorEastAsia" w:hAnsiTheme="minorEastAsia" w:eastAsiaTheme="minorEastAsia" w:cstheme="minorEastAsia"/>
                <w:sz w:val="18"/>
                <w:szCs w:val="18"/>
              </w:rPr>
            </w:pPr>
          </w:p>
        </w:tc>
      </w:tr>
      <w:tr w14:paraId="2B1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FF4B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6.17</w:t>
            </w:r>
          </w:p>
        </w:tc>
        <w:tc>
          <w:tcPr>
            <w:tcW w:w="1869" w:type="dxa"/>
            <w:tcBorders>
              <w:top w:val="single" w:color="auto" w:sz="4" w:space="0"/>
              <w:left w:val="single" w:color="auto" w:sz="4" w:space="0"/>
              <w:bottom w:val="single" w:color="auto" w:sz="4" w:space="0"/>
              <w:right w:val="single" w:color="auto" w:sz="4" w:space="0"/>
            </w:tcBorders>
            <w:noWrap/>
            <w:vAlign w:val="center"/>
          </w:tcPr>
          <w:p w14:paraId="7717D85E">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试管摇匀功能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0CAEFC7F">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z w:val="18"/>
                <w:szCs w:val="18"/>
              </w:rPr>
              <w:t>仪器支持试管颠倒摇匀功能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39262B12">
            <w:pPr>
              <w:jc w:val="center"/>
              <w:rPr>
                <w:rFonts w:hint="eastAsia" w:asciiTheme="minorEastAsia" w:hAnsiTheme="minorEastAsia" w:eastAsiaTheme="minorEastAsia" w:cstheme="minorEastAsia"/>
                <w:sz w:val="18"/>
                <w:szCs w:val="18"/>
              </w:rPr>
            </w:pPr>
          </w:p>
        </w:tc>
      </w:tr>
      <w:tr w14:paraId="1FCF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7E70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6.18</w:t>
            </w:r>
          </w:p>
        </w:tc>
        <w:tc>
          <w:tcPr>
            <w:tcW w:w="1869" w:type="dxa"/>
            <w:tcBorders>
              <w:top w:val="single" w:color="auto" w:sz="4" w:space="0"/>
              <w:left w:val="single" w:color="auto" w:sz="4" w:space="0"/>
              <w:bottom w:val="single" w:color="auto" w:sz="4" w:space="0"/>
              <w:right w:val="single" w:color="auto" w:sz="4" w:space="0"/>
            </w:tcBorders>
            <w:noWrap/>
            <w:vAlign w:val="center"/>
          </w:tcPr>
          <w:p w14:paraId="67464CBC">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吸样方式</w:t>
            </w:r>
          </w:p>
        </w:tc>
        <w:tc>
          <w:tcPr>
            <w:tcW w:w="4178" w:type="dxa"/>
            <w:tcBorders>
              <w:top w:val="single" w:color="auto" w:sz="4" w:space="0"/>
              <w:left w:val="single" w:color="auto" w:sz="4" w:space="0"/>
              <w:bottom w:val="single" w:color="auto" w:sz="4" w:space="0"/>
              <w:right w:val="single" w:color="auto" w:sz="4" w:space="0"/>
            </w:tcBorders>
            <w:noWrap/>
            <w:vAlign w:val="center"/>
          </w:tcPr>
          <w:p w14:paraId="75C5AB35">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样本管帽穿刺进样</w:t>
            </w:r>
          </w:p>
        </w:tc>
        <w:tc>
          <w:tcPr>
            <w:tcW w:w="1556" w:type="dxa"/>
            <w:tcBorders>
              <w:top w:val="single" w:color="auto" w:sz="4" w:space="0"/>
              <w:left w:val="single" w:color="auto" w:sz="4" w:space="0"/>
              <w:bottom w:val="single" w:color="auto" w:sz="4" w:space="0"/>
              <w:right w:val="single" w:color="auto" w:sz="4" w:space="0"/>
            </w:tcBorders>
            <w:noWrap/>
            <w:vAlign w:val="center"/>
          </w:tcPr>
          <w:p w14:paraId="5E860F73">
            <w:pPr>
              <w:jc w:val="center"/>
              <w:rPr>
                <w:rFonts w:hint="eastAsia" w:asciiTheme="minorEastAsia" w:hAnsiTheme="minorEastAsia" w:eastAsiaTheme="minorEastAsia" w:cstheme="minorEastAsia"/>
                <w:sz w:val="18"/>
                <w:szCs w:val="18"/>
              </w:rPr>
            </w:pPr>
          </w:p>
        </w:tc>
      </w:tr>
      <w:tr w14:paraId="065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EB77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6.19</w:t>
            </w:r>
          </w:p>
        </w:tc>
        <w:tc>
          <w:tcPr>
            <w:tcW w:w="1869" w:type="dxa"/>
            <w:tcBorders>
              <w:top w:val="single" w:color="auto" w:sz="4" w:space="0"/>
              <w:left w:val="single" w:color="auto" w:sz="4" w:space="0"/>
              <w:bottom w:val="single" w:color="auto" w:sz="4" w:space="0"/>
              <w:right w:val="single" w:color="auto" w:sz="4" w:space="0"/>
            </w:tcBorders>
            <w:noWrap/>
            <w:vAlign w:val="center"/>
          </w:tcPr>
          <w:p w14:paraId="151FDB76">
            <w:pPr>
              <w:jc w:val="both"/>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2"/>
                <w:sz w:val="18"/>
                <w:szCs w:val="18"/>
              </w:rPr>
              <w:t>打印功能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4A5C217">
            <w:pPr>
              <w:jc w:val="both"/>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1"/>
                <w:sz w:val="18"/>
                <w:szCs w:val="18"/>
              </w:rPr>
              <w:t>支持热敏打印，也可支持外接打印</w:t>
            </w:r>
          </w:p>
        </w:tc>
        <w:tc>
          <w:tcPr>
            <w:tcW w:w="1556" w:type="dxa"/>
            <w:tcBorders>
              <w:top w:val="single" w:color="auto" w:sz="4" w:space="0"/>
              <w:left w:val="single" w:color="auto" w:sz="4" w:space="0"/>
              <w:bottom w:val="single" w:color="auto" w:sz="4" w:space="0"/>
              <w:right w:val="single" w:color="auto" w:sz="4" w:space="0"/>
            </w:tcBorders>
            <w:noWrap/>
            <w:vAlign w:val="center"/>
          </w:tcPr>
          <w:p w14:paraId="429ADF1C">
            <w:pPr>
              <w:jc w:val="center"/>
              <w:rPr>
                <w:rFonts w:hint="eastAsia" w:asciiTheme="minorEastAsia" w:hAnsiTheme="minorEastAsia" w:eastAsiaTheme="minorEastAsia" w:cstheme="minorEastAsia"/>
                <w:sz w:val="18"/>
                <w:szCs w:val="18"/>
              </w:rPr>
            </w:pPr>
          </w:p>
        </w:tc>
      </w:tr>
    </w:tbl>
    <w:p w14:paraId="31E91244">
      <w:pPr>
        <w:jc w:val="center"/>
        <w:rPr>
          <w:rFonts w:hint="eastAsia" w:asciiTheme="minorEastAsia" w:hAnsiTheme="minorEastAsia" w:eastAsiaTheme="minorEastAsia" w:cstheme="minorEastAsia"/>
          <w:sz w:val="21"/>
          <w:szCs w:val="21"/>
        </w:rPr>
      </w:pPr>
    </w:p>
    <w:p w14:paraId="43A8CC3A">
      <w:pPr>
        <w:jc w:val="center"/>
        <w:rPr>
          <w:rFonts w:hint="eastAsia" w:asciiTheme="minorEastAsia" w:hAnsiTheme="minorEastAsia" w:eastAsiaTheme="minorEastAsia" w:cstheme="minorEastAsia"/>
          <w:sz w:val="21"/>
          <w:szCs w:val="21"/>
        </w:rPr>
      </w:pPr>
    </w:p>
    <w:p w14:paraId="6F610F0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6168AF9">
      <w:pPr>
        <w:outlineLvl w:val="0"/>
        <w:rPr>
          <w:rFonts w:hint="eastAsia" w:ascii="黑体" w:hAnsi="黑体" w:eastAsia="黑体"/>
          <w:b/>
          <w:sz w:val="36"/>
          <w:szCs w:val="36"/>
          <w:lang w:val="en-US" w:eastAsia="zh-CN"/>
        </w:rPr>
      </w:pPr>
    </w:p>
    <w:p w14:paraId="11C41F40">
      <w:pPr>
        <w:outlineLvl w:val="0"/>
        <w:rPr>
          <w:rFonts w:hint="eastAsia" w:ascii="黑体" w:hAnsi="黑体" w:eastAsia="黑体"/>
          <w:b/>
          <w:sz w:val="36"/>
          <w:szCs w:val="36"/>
          <w:lang w:val="en-US" w:eastAsia="zh-CN"/>
        </w:rPr>
      </w:pPr>
    </w:p>
    <w:p w14:paraId="0173D3C4">
      <w:pPr>
        <w:outlineLvl w:val="0"/>
        <w:rPr>
          <w:rFonts w:hint="eastAsia" w:ascii="黑体" w:hAnsi="黑体" w:eastAsia="黑体"/>
          <w:b/>
          <w:sz w:val="36"/>
          <w:szCs w:val="36"/>
          <w:lang w:val="en-US" w:eastAsia="zh-CN"/>
        </w:rPr>
      </w:pPr>
    </w:p>
    <w:p w14:paraId="6B3A9FB2">
      <w:pPr>
        <w:outlineLvl w:val="0"/>
        <w:rPr>
          <w:rFonts w:hint="eastAsia" w:ascii="黑体" w:hAnsi="黑体" w:eastAsia="黑体"/>
          <w:b/>
          <w:sz w:val="36"/>
          <w:szCs w:val="36"/>
          <w:lang w:val="en-US" w:eastAsia="zh-CN"/>
        </w:rPr>
      </w:pPr>
    </w:p>
    <w:p w14:paraId="48D77ECF">
      <w:pPr>
        <w:outlineLvl w:val="0"/>
        <w:rPr>
          <w:rFonts w:hint="eastAsia" w:ascii="黑体" w:hAnsi="黑体" w:eastAsia="黑体"/>
          <w:b/>
          <w:sz w:val="36"/>
          <w:szCs w:val="36"/>
          <w:lang w:val="en-US" w:eastAsia="zh-CN"/>
        </w:rPr>
      </w:pPr>
    </w:p>
    <w:p w14:paraId="48F26C53">
      <w:pPr>
        <w:outlineLvl w:val="0"/>
        <w:rPr>
          <w:rFonts w:hint="eastAsia" w:ascii="黑体" w:hAnsi="黑体" w:eastAsia="黑体"/>
          <w:b/>
          <w:sz w:val="36"/>
          <w:szCs w:val="36"/>
          <w:lang w:val="en-US" w:eastAsia="zh-CN"/>
        </w:rPr>
      </w:pPr>
    </w:p>
    <w:p w14:paraId="5DFA4107">
      <w:pPr>
        <w:outlineLvl w:val="0"/>
        <w:rPr>
          <w:rFonts w:hint="eastAsia" w:ascii="黑体" w:hAnsi="黑体" w:eastAsia="黑体"/>
          <w:b/>
          <w:sz w:val="36"/>
          <w:szCs w:val="36"/>
          <w:lang w:val="en-US" w:eastAsia="zh-CN"/>
        </w:rPr>
      </w:pPr>
    </w:p>
    <w:p w14:paraId="28DF00D1">
      <w:pPr>
        <w:outlineLvl w:val="0"/>
        <w:rPr>
          <w:rFonts w:hint="eastAsia" w:ascii="黑体" w:hAnsi="黑体" w:eastAsia="黑体"/>
          <w:b/>
          <w:sz w:val="36"/>
          <w:szCs w:val="36"/>
          <w:lang w:val="en-US" w:eastAsia="zh-CN"/>
        </w:rPr>
      </w:pPr>
    </w:p>
    <w:p w14:paraId="393F197D">
      <w:pPr>
        <w:outlineLvl w:val="0"/>
        <w:rPr>
          <w:rFonts w:hint="eastAsia" w:ascii="黑体" w:hAnsi="黑体" w:eastAsia="黑体"/>
          <w:b/>
          <w:sz w:val="36"/>
          <w:szCs w:val="36"/>
          <w:lang w:val="en-US" w:eastAsia="zh-CN"/>
        </w:rPr>
      </w:pPr>
    </w:p>
    <w:p w14:paraId="3A5EA53F">
      <w:pPr>
        <w:outlineLvl w:val="0"/>
        <w:rPr>
          <w:rFonts w:hint="eastAsia" w:ascii="黑体" w:hAnsi="黑体" w:eastAsia="黑体"/>
          <w:b/>
          <w:sz w:val="36"/>
          <w:szCs w:val="36"/>
          <w:lang w:val="en-US" w:eastAsia="zh-CN"/>
        </w:rPr>
      </w:pPr>
    </w:p>
    <w:p w14:paraId="0E4AE6B6">
      <w:pPr>
        <w:outlineLvl w:val="0"/>
        <w:rPr>
          <w:rFonts w:hint="eastAsia" w:ascii="黑体" w:hAnsi="黑体" w:eastAsia="黑体"/>
          <w:b/>
          <w:sz w:val="36"/>
          <w:szCs w:val="36"/>
          <w:lang w:val="en-US" w:eastAsia="zh-CN"/>
        </w:rPr>
      </w:pPr>
    </w:p>
    <w:p w14:paraId="110B7A7B">
      <w:pPr>
        <w:outlineLvl w:val="0"/>
        <w:rPr>
          <w:rFonts w:hint="eastAsia" w:ascii="黑体" w:hAnsi="黑体" w:eastAsia="黑体"/>
          <w:b/>
          <w:sz w:val="36"/>
          <w:szCs w:val="36"/>
          <w:lang w:val="en-US" w:eastAsia="zh-CN"/>
        </w:rPr>
      </w:pPr>
    </w:p>
    <w:p w14:paraId="31E97A98">
      <w:pPr>
        <w:outlineLvl w:val="0"/>
        <w:rPr>
          <w:rFonts w:hint="eastAsia" w:ascii="黑体" w:hAnsi="黑体" w:eastAsia="黑体"/>
          <w:b/>
          <w:sz w:val="36"/>
          <w:szCs w:val="36"/>
          <w:lang w:val="en-US" w:eastAsia="zh-CN"/>
        </w:rPr>
      </w:pPr>
    </w:p>
    <w:p w14:paraId="1A929377">
      <w:pPr>
        <w:outlineLvl w:val="0"/>
        <w:rPr>
          <w:rFonts w:hint="eastAsia" w:ascii="黑体" w:hAnsi="黑体" w:eastAsia="黑体"/>
          <w:b/>
          <w:sz w:val="36"/>
          <w:szCs w:val="36"/>
          <w:lang w:val="en-US" w:eastAsia="zh-CN"/>
        </w:rPr>
      </w:pPr>
    </w:p>
    <w:p w14:paraId="49B05B74">
      <w:pPr>
        <w:outlineLvl w:val="0"/>
        <w:rPr>
          <w:rFonts w:hint="eastAsia" w:ascii="黑体" w:hAnsi="黑体" w:eastAsia="黑体"/>
          <w:b/>
          <w:sz w:val="36"/>
          <w:szCs w:val="36"/>
          <w:lang w:val="en-US" w:eastAsia="zh-CN"/>
        </w:rPr>
      </w:pPr>
    </w:p>
    <w:p w14:paraId="1DFA802F">
      <w:pPr>
        <w:outlineLvl w:val="0"/>
        <w:rPr>
          <w:rFonts w:hint="eastAsia" w:ascii="黑体" w:hAnsi="黑体" w:eastAsia="黑体"/>
          <w:b/>
          <w:sz w:val="36"/>
          <w:szCs w:val="36"/>
          <w:lang w:val="en-US" w:eastAsia="zh-CN"/>
        </w:rPr>
      </w:pPr>
    </w:p>
    <w:p w14:paraId="0FDD5F80">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双目显微镜设备功能要求响应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A05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B09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BF2F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设备名称：双目显微镜</w:t>
            </w:r>
          </w:p>
        </w:tc>
      </w:tr>
      <w:tr w14:paraId="048E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702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69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903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93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0B09E9">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7"/>
                <w:sz w:val="18"/>
                <w:szCs w:val="18"/>
              </w:rPr>
              <w:t>主要用于染色样本的明场观察；</w:t>
            </w:r>
          </w:p>
        </w:tc>
        <w:tc>
          <w:tcPr>
            <w:tcW w:w="3307" w:type="dxa"/>
            <w:tcBorders>
              <w:top w:val="single" w:color="auto" w:sz="4" w:space="0"/>
              <w:left w:val="single" w:color="auto" w:sz="4" w:space="0"/>
              <w:right w:val="single" w:color="auto" w:sz="4" w:space="0"/>
            </w:tcBorders>
            <w:shd w:val="clear" w:color="auto" w:fill="auto"/>
            <w:noWrap w:val="0"/>
            <w:vAlign w:val="top"/>
          </w:tcPr>
          <w:p w14:paraId="07AA1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75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9D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2CBD3">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4"/>
                <w:sz w:val="18"/>
                <w:szCs w:val="18"/>
              </w:rPr>
              <w:t>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4"/>
                <w:sz w:val="18"/>
                <w:szCs w:val="18"/>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407798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E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85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9F6B91">
            <w:pPr>
              <w:pStyle w:val="23"/>
              <w:spacing w:before="52" w:line="219" w:lineRule="auto"/>
              <w:jc w:val="both"/>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2"/>
                <w:sz w:val="18"/>
                <w:szCs w:val="18"/>
              </w:rPr>
              <w:t>带固定防脱离锁栓，在360度旋转时，</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1"/>
                <w:sz w:val="18"/>
                <w:szCs w:val="18"/>
              </w:rPr>
              <w:t>防止观察筒脱离；</w:t>
            </w:r>
          </w:p>
        </w:tc>
        <w:tc>
          <w:tcPr>
            <w:tcW w:w="3307" w:type="dxa"/>
            <w:tcBorders>
              <w:top w:val="single" w:color="auto" w:sz="4" w:space="0"/>
              <w:left w:val="single" w:color="auto" w:sz="4" w:space="0"/>
              <w:right w:val="single" w:color="auto" w:sz="4" w:space="0"/>
            </w:tcBorders>
            <w:shd w:val="clear" w:color="auto" w:fill="auto"/>
            <w:noWrap w:val="0"/>
            <w:vAlign w:val="top"/>
          </w:tcPr>
          <w:p w14:paraId="6CA935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A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5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8090CA">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光源是由底部安装，令整机高度一体</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化，有很好的光透效率，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2"/>
                <w:sz w:val="18"/>
                <w:szCs w:val="18"/>
              </w:rPr>
              <w:t xml:space="preserve">光源使 </w:t>
            </w:r>
            <w:r>
              <w:rPr>
                <w:rFonts w:hint="eastAsia" w:asciiTheme="minorEastAsia" w:hAnsiTheme="minorEastAsia" w:eastAsiaTheme="minorEastAsia" w:cstheme="minorEastAsia"/>
                <w:spacing w:val="8"/>
                <w:sz w:val="18"/>
                <w:szCs w:val="18"/>
              </w:rPr>
              <w:t>用寿命长≥20000小时；</w:t>
            </w:r>
          </w:p>
        </w:tc>
        <w:tc>
          <w:tcPr>
            <w:tcW w:w="3307" w:type="dxa"/>
            <w:tcBorders>
              <w:top w:val="single" w:color="auto" w:sz="4" w:space="0"/>
              <w:left w:val="single" w:color="auto" w:sz="4" w:space="0"/>
              <w:right w:val="single" w:color="auto" w:sz="4" w:space="0"/>
            </w:tcBorders>
            <w:shd w:val="clear" w:color="auto" w:fill="auto"/>
            <w:noWrap w:val="0"/>
            <w:vAlign w:val="top"/>
          </w:tcPr>
          <w:p w14:paraId="0E8FE7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C1A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4F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55639B">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最高分辨率0.27um。</w:t>
            </w:r>
          </w:p>
        </w:tc>
        <w:tc>
          <w:tcPr>
            <w:tcW w:w="3307" w:type="dxa"/>
            <w:tcBorders>
              <w:top w:val="single" w:color="auto" w:sz="4" w:space="0"/>
              <w:left w:val="single" w:color="auto" w:sz="4" w:space="0"/>
              <w:right w:val="single" w:color="auto" w:sz="4" w:space="0"/>
            </w:tcBorders>
            <w:shd w:val="clear" w:color="auto" w:fill="auto"/>
            <w:noWrap w:val="0"/>
            <w:vAlign w:val="top"/>
          </w:tcPr>
          <w:p w14:paraId="6E725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0E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F23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0A2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58C398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8BDA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1F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14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315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4C1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3D0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014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9C9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5"/>
                <w:sz w:val="18"/>
                <w:szCs w:val="18"/>
              </w:rPr>
              <w:t>显微镜主机(配有用于透射光照</w:t>
            </w:r>
            <w:r>
              <w:rPr>
                <w:rFonts w:hint="eastAsia" w:asciiTheme="minorEastAsia" w:hAnsiTheme="minorEastAsia" w:eastAsiaTheme="minorEastAsia" w:cstheme="minorEastAsia"/>
                <w:spacing w:val="-5"/>
                <w:sz w:val="18"/>
                <w:szCs w:val="18"/>
                <w:lang w:val="en-US" w:eastAsia="zh-CN"/>
              </w:rPr>
              <w:t>明的</w:t>
            </w:r>
            <w:r>
              <w:rPr>
                <w:rFonts w:hint="eastAsia" w:asciiTheme="minorEastAsia" w:hAnsiTheme="minorEastAsia" w:eastAsiaTheme="minorEastAsia" w:cstheme="minorEastAsia"/>
                <w:spacing w:val="-5"/>
                <w:sz w:val="18"/>
                <w:szCs w:val="18"/>
              </w:rPr>
              <w:t>双</w:t>
            </w:r>
            <w:r>
              <w:rPr>
                <w:rFonts w:hint="eastAsia" w:asciiTheme="minorEastAsia" w:hAnsiTheme="minorEastAsia" w:eastAsiaTheme="minorEastAsia" w:cstheme="minorEastAsia"/>
                <w:spacing w:val="1"/>
                <w:sz w:val="18"/>
                <w:szCs w:val="18"/>
              </w:rPr>
              <w:t>目镜筒，一对目镜10X(F.N.20),四孔</w:t>
            </w:r>
            <w:r>
              <w:rPr>
                <w:rFonts w:hint="eastAsia" w:asciiTheme="minorEastAsia" w:hAnsiTheme="minorEastAsia" w:eastAsiaTheme="minorEastAsia" w:cstheme="minorEastAsia"/>
                <w:spacing w:val="-9"/>
                <w:sz w:val="18"/>
                <w:szCs w:val="18"/>
              </w:rPr>
              <w:t>物镜转盘，机械载物台，阿贝聚光镜以</w:t>
            </w:r>
            <w:r>
              <w:rPr>
                <w:rFonts w:hint="eastAsia" w:asciiTheme="minorEastAsia" w:hAnsiTheme="minorEastAsia" w:eastAsiaTheme="minorEastAsia" w:cstheme="minorEastAsia"/>
                <w:spacing w:val="2"/>
                <w:sz w:val="18"/>
                <w:szCs w:val="18"/>
              </w:rPr>
              <w:t>及平场物镜(4X、10X、40X、100X</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4"/>
                <w:w w:val="111"/>
                <w:sz w:val="18"/>
                <w:szCs w:val="18"/>
              </w:rPr>
              <w:t>LED光源</w:t>
            </w:r>
            <w:r>
              <w:rPr>
                <w:rFonts w:hint="eastAsia" w:asciiTheme="minorEastAsia" w:hAnsiTheme="minorEastAsia" w:eastAsiaTheme="minorEastAsia" w:cstheme="minorEastAsia"/>
                <w:spacing w:val="24"/>
                <w:w w:val="111"/>
                <w:sz w:val="18"/>
                <w:szCs w:val="18"/>
                <w:lang w:val="en-US" w:eastAsia="zh-CN"/>
              </w:rPr>
              <w:t>一台</w:t>
            </w:r>
            <w:r>
              <w:rPr>
                <w:rFonts w:hint="eastAsia" w:asciiTheme="minorEastAsia" w:hAnsiTheme="minorEastAsia" w:eastAsiaTheme="minorEastAsia" w:cstheme="minorEastAsia"/>
                <w:spacing w:val="24"/>
                <w:w w:val="111"/>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88B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8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AA8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E780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1"/>
                <w:sz w:val="18"/>
                <w:szCs w:val="18"/>
              </w:rPr>
              <w:t>防尘罩1个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F17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53C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516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FCF2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电源线1个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57E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64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F43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673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A5F3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8F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A67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9BC8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68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7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B1C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0B7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FF0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2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CDF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5E2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56F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A0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123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8B0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954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03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0E4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098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CBD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7D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613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01A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741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CC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D9038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BC69A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58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AA331CC">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66F6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4F8E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D7A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55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9792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025CD918">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B223DB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国际标准的齐焦距离≤45mm的无限远</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5"/>
                <w:sz w:val="18"/>
                <w:szCs w:val="18"/>
              </w:rPr>
              <w:t>光学校正系统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7E439C04">
            <w:pPr>
              <w:jc w:val="center"/>
              <w:rPr>
                <w:rFonts w:hint="eastAsia" w:asciiTheme="minorEastAsia" w:hAnsiTheme="minorEastAsia" w:eastAsiaTheme="minorEastAsia" w:cstheme="minorEastAsia"/>
                <w:sz w:val="18"/>
                <w:szCs w:val="18"/>
              </w:rPr>
            </w:pPr>
          </w:p>
        </w:tc>
      </w:tr>
      <w:tr w14:paraId="05C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0FD39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3E21CE31">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BB68FA">
            <w:pPr>
              <w:pStyle w:val="23"/>
              <w:spacing w:before="51" w:line="263" w:lineRule="auto"/>
              <w:ind w:left="89" w:hanging="4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观察筒可进行瞳距及屈光度调节，瞳距</w:t>
            </w:r>
            <w:r>
              <w:rPr>
                <w:rFonts w:hint="eastAsia" w:asciiTheme="minorEastAsia" w:hAnsiTheme="minorEastAsia" w:eastAsiaTheme="minorEastAsia" w:cstheme="minorEastAsia"/>
                <w:sz w:val="18"/>
                <w:szCs w:val="18"/>
              </w:rPr>
              <w:t>调节</w:t>
            </w:r>
            <w:r>
              <w:rPr>
                <w:rFonts w:hint="eastAsia" w:asciiTheme="minorEastAsia" w:hAnsiTheme="minorEastAsia" w:eastAsiaTheme="minorEastAsia" w:cstheme="minorEastAsia"/>
                <w:sz w:val="18"/>
                <w:szCs w:val="18"/>
                <w:lang w:val="en-US" w:eastAsia="zh-CN"/>
              </w:rPr>
              <w:t>范</w:t>
            </w:r>
            <w:r>
              <w:rPr>
                <w:rFonts w:hint="eastAsia" w:asciiTheme="minorEastAsia" w:hAnsiTheme="minorEastAsia" w:eastAsiaTheme="minorEastAsia" w:cstheme="minorEastAsia"/>
                <w:sz w:val="18"/>
                <w:szCs w:val="18"/>
              </w:rPr>
              <w:t>围不窄于48-75mm,眼点可调节距</w:t>
            </w:r>
            <w:r>
              <w:rPr>
                <w:rFonts w:hint="eastAsia" w:asciiTheme="minorEastAsia" w:hAnsiTheme="minorEastAsia" w:eastAsiaTheme="minorEastAsia" w:cstheme="minorEastAsia"/>
                <w:spacing w:val="3"/>
                <w:sz w:val="18"/>
                <w:szCs w:val="18"/>
              </w:rPr>
              <w:t>离不窄于377-427</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3"/>
                <w:sz w:val="18"/>
                <w:szCs w:val="18"/>
              </w:rPr>
              <w:t xml:space="preserve">,倾斜角度≤30°, </w:t>
            </w:r>
            <w:r>
              <w:rPr>
                <w:rFonts w:hint="eastAsia" w:asciiTheme="minorEastAsia" w:hAnsiTheme="minorEastAsia" w:eastAsiaTheme="minorEastAsia" w:cstheme="minorEastAsia"/>
                <w:spacing w:val="2"/>
                <w:sz w:val="18"/>
                <w:szCs w:val="18"/>
              </w:rPr>
              <w:t>铰链式，眼点高度≥432.9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2"/>
                <w:sz w:val="18"/>
                <w:szCs w:val="18"/>
              </w:rPr>
              <w:t>,光路视野</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FN≥20</w:t>
            </w:r>
          </w:p>
        </w:tc>
        <w:tc>
          <w:tcPr>
            <w:tcW w:w="1556" w:type="dxa"/>
            <w:tcBorders>
              <w:top w:val="single" w:color="auto" w:sz="4" w:space="0"/>
              <w:left w:val="single" w:color="auto" w:sz="4" w:space="0"/>
              <w:bottom w:val="single" w:color="auto" w:sz="4" w:space="0"/>
              <w:right w:val="single" w:color="auto" w:sz="4" w:space="0"/>
            </w:tcBorders>
            <w:noWrap/>
            <w:vAlign w:val="center"/>
          </w:tcPr>
          <w:p w14:paraId="23800FC9">
            <w:pPr>
              <w:jc w:val="center"/>
              <w:rPr>
                <w:rFonts w:hint="eastAsia" w:asciiTheme="minorEastAsia" w:hAnsiTheme="minorEastAsia" w:eastAsiaTheme="minorEastAsia" w:cstheme="minorEastAsia"/>
                <w:sz w:val="18"/>
                <w:szCs w:val="18"/>
              </w:rPr>
            </w:pPr>
          </w:p>
        </w:tc>
      </w:tr>
      <w:tr w14:paraId="247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9BD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DE940C">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D58EB6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平场消色差物镜4个，4X、10X、40X、</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6"/>
                <w:sz w:val="18"/>
                <w:szCs w:val="18"/>
              </w:rPr>
              <w:t>1</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3"/>
                <w:sz w:val="18"/>
                <w:szCs w:val="18"/>
              </w:rPr>
              <w:t xml:space="preserve"> </w:t>
            </w:r>
            <w:r>
              <w:rPr>
                <w:rFonts w:hint="eastAsia" w:asciiTheme="minorEastAsia" w:hAnsiTheme="minorEastAsia" w:eastAsiaTheme="minorEastAsia" w:cstheme="minorEastAsia"/>
                <w:spacing w:val="-16"/>
                <w:sz w:val="18"/>
                <w:szCs w:val="18"/>
              </w:rPr>
              <w:t>X</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o ;</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数</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孔</w:t>
            </w:r>
            <w:r>
              <w:rPr>
                <w:rFonts w:hint="eastAsia" w:asciiTheme="minorEastAsia" w:hAnsiTheme="minorEastAsia" w:eastAsiaTheme="minorEastAsia" w:cstheme="minorEastAsia"/>
                <w:spacing w:val="-32"/>
                <w:sz w:val="18"/>
                <w:szCs w:val="18"/>
              </w:rPr>
              <w:t xml:space="preserve"> </w:t>
            </w:r>
            <w:r>
              <w:rPr>
                <w:rFonts w:hint="eastAsia" w:asciiTheme="minorEastAsia" w:hAnsiTheme="minorEastAsia" w:eastAsiaTheme="minorEastAsia" w:cstheme="minorEastAsia"/>
                <w:spacing w:val="-16"/>
                <w:sz w:val="18"/>
                <w:szCs w:val="18"/>
              </w:rPr>
              <w:t>径</w:t>
            </w:r>
            <w:r>
              <w:rPr>
                <w:rFonts w:hint="eastAsia" w:asciiTheme="minorEastAsia" w:hAnsiTheme="minorEastAsia" w:eastAsiaTheme="minorEastAsia" w:cstheme="minorEastAsia"/>
                <w:spacing w:val="-37"/>
                <w:sz w:val="18"/>
                <w:szCs w:val="18"/>
              </w:rPr>
              <w:t xml:space="preserve"> </w:t>
            </w:r>
            <w:r>
              <w:rPr>
                <w:rFonts w:hint="eastAsia" w:asciiTheme="minorEastAsia" w:hAnsiTheme="minorEastAsia" w:eastAsiaTheme="minorEastAsia" w:cstheme="minorEastAsia"/>
                <w:spacing w:val="-16"/>
                <w:sz w:val="18"/>
                <w:szCs w:val="18"/>
              </w:rPr>
              <w:t>N</w:t>
            </w:r>
            <w:r>
              <w:rPr>
                <w:rFonts w:hint="eastAsia" w:asciiTheme="minorEastAsia" w:hAnsiTheme="minorEastAsia" w:eastAsiaTheme="minorEastAsia" w:cstheme="minorEastAsia"/>
                <w:spacing w:val="-16"/>
                <w:sz w:val="18"/>
                <w:szCs w:val="18"/>
                <w:lang w:val="en-US" w:eastAsia="zh-CN"/>
              </w:rPr>
              <w:t xml:space="preserve"> .</w:t>
            </w:r>
            <w:r>
              <w:rPr>
                <w:rFonts w:hint="eastAsia" w:asciiTheme="minorEastAsia" w:hAnsiTheme="minorEastAsia" w:eastAsiaTheme="minorEastAsia" w:cstheme="minorEastAsia"/>
                <w:spacing w:val="-16"/>
                <w:sz w:val="18"/>
                <w:szCs w:val="18"/>
              </w:rPr>
              <w:t>A</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分</w:t>
            </w:r>
            <w:r>
              <w:rPr>
                <w:rFonts w:hint="eastAsia" w:asciiTheme="minorEastAsia" w:hAnsiTheme="minorEastAsia" w:eastAsiaTheme="minorEastAsia" w:cstheme="minorEastAsia"/>
                <w:spacing w:val="-28"/>
                <w:sz w:val="18"/>
                <w:szCs w:val="18"/>
              </w:rPr>
              <w:t xml:space="preserve"> </w:t>
            </w:r>
            <w:r>
              <w:rPr>
                <w:rFonts w:hint="eastAsia" w:asciiTheme="minorEastAsia" w:hAnsiTheme="minorEastAsia" w:eastAsiaTheme="minorEastAsia" w:cstheme="minorEastAsia"/>
                <w:spacing w:val="-16"/>
                <w:sz w:val="18"/>
                <w:szCs w:val="18"/>
              </w:rPr>
              <w:t>别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0.1/0.25/0.65/1.25,工作距离W</w:t>
            </w:r>
            <w:r>
              <w:rPr>
                <w:rFonts w:hint="eastAsia" w:asciiTheme="minorEastAsia" w:hAnsiTheme="minorEastAsia" w:eastAsiaTheme="minorEastAsia" w:cstheme="minorEastAsia"/>
                <w:spacing w:val="-3"/>
                <w:sz w:val="18"/>
                <w:szCs w:val="18"/>
              </w:rPr>
              <w:t>D分别≥</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27</w:t>
            </w:r>
            <w:r>
              <w:rPr>
                <w:rFonts w:hint="eastAsia" w:asciiTheme="minorEastAsia" w:hAnsiTheme="minorEastAsia" w:eastAsiaTheme="minorEastAsia" w:cstheme="minorEastAsia"/>
                <w:spacing w:val="-4"/>
                <w:sz w:val="18"/>
                <w:szCs w:val="18"/>
                <w:lang w:val="en-US" w:eastAsia="zh-CN"/>
              </w:rPr>
              <w:t>/</w:t>
            </w:r>
            <w:r>
              <w:rPr>
                <w:rFonts w:hint="eastAsia" w:asciiTheme="minorEastAsia" w:hAnsiTheme="minorEastAsia" w:eastAsiaTheme="minorEastAsia" w:cstheme="minorEastAsia"/>
                <w:spacing w:val="-4"/>
                <w:sz w:val="18"/>
                <w:szCs w:val="18"/>
              </w:rPr>
              <w:t>8/0.6/0.13mm</w:t>
            </w:r>
          </w:p>
        </w:tc>
        <w:tc>
          <w:tcPr>
            <w:tcW w:w="1556" w:type="dxa"/>
            <w:tcBorders>
              <w:top w:val="single" w:color="auto" w:sz="4" w:space="0"/>
              <w:left w:val="single" w:color="auto" w:sz="4" w:space="0"/>
              <w:bottom w:val="single" w:color="auto" w:sz="4" w:space="0"/>
              <w:right w:val="single" w:color="auto" w:sz="4" w:space="0"/>
            </w:tcBorders>
            <w:noWrap/>
            <w:vAlign w:val="center"/>
          </w:tcPr>
          <w:p w14:paraId="65760901">
            <w:pPr>
              <w:jc w:val="center"/>
              <w:rPr>
                <w:rFonts w:hint="eastAsia" w:asciiTheme="minorEastAsia" w:hAnsiTheme="minorEastAsia" w:eastAsiaTheme="minorEastAsia" w:cstheme="minorEastAsia"/>
                <w:sz w:val="18"/>
                <w:szCs w:val="18"/>
              </w:rPr>
            </w:pPr>
          </w:p>
        </w:tc>
      </w:tr>
      <w:tr w14:paraId="7F2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620B1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7BD7AC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E986430">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带收纳电源箱及收纳电源适配器箱</w:t>
            </w:r>
          </w:p>
        </w:tc>
        <w:tc>
          <w:tcPr>
            <w:tcW w:w="1556" w:type="dxa"/>
            <w:tcBorders>
              <w:top w:val="single" w:color="auto" w:sz="4" w:space="0"/>
              <w:left w:val="single" w:color="auto" w:sz="4" w:space="0"/>
              <w:bottom w:val="single" w:color="auto" w:sz="4" w:space="0"/>
              <w:right w:val="single" w:color="auto" w:sz="4" w:space="0"/>
            </w:tcBorders>
            <w:noWrap/>
            <w:vAlign w:val="center"/>
          </w:tcPr>
          <w:p w14:paraId="16AC6C65">
            <w:pPr>
              <w:jc w:val="center"/>
              <w:rPr>
                <w:rFonts w:hint="eastAsia" w:asciiTheme="minorEastAsia" w:hAnsiTheme="minorEastAsia" w:eastAsiaTheme="minorEastAsia" w:cstheme="minorEastAsia"/>
                <w:sz w:val="18"/>
                <w:szCs w:val="18"/>
              </w:rPr>
            </w:pPr>
          </w:p>
        </w:tc>
      </w:tr>
      <w:tr w14:paraId="25B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B9A4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0612D6D8">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E9E8C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钢丝底部传动机械载物台，无突出锯齿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5"/>
                <w:sz w:val="18"/>
                <w:szCs w:val="18"/>
              </w:rPr>
              <w:t>状支架及轨道</w:t>
            </w:r>
          </w:p>
        </w:tc>
        <w:tc>
          <w:tcPr>
            <w:tcW w:w="1556" w:type="dxa"/>
            <w:tcBorders>
              <w:top w:val="single" w:color="auto" w:sz="4" w:space="0"/>
              <w:left w:val="single" w:color="auto" w:sz="4" w:space="0"/>
              <w:bottom w:val="single" w:color="auto" w:sz="4" w:space="0"/>
              <w:right w:val="single" w:color="auto" w:sz="4" w:space="0"/>
            </w:tcBorders>
            <w:noWrap/>
            <w:vAlign w:val="center"/>
          </w:tcPr>
          <w:p w14:paraId="531A0FFF">
            <w:pPr>
              <w:jc w:val="center"/>
              <w:rPr>
                <w:rFonts w:hint="eastAsia" w:asciiTheme="minorEastAsia" w:hAnsiTheme="minorEastAsia" w:eastAsiaTheme="minorEastAsia" w:cstheme="minorEastAsia"/>
                <w:sz w:val="18"/>
                <w:szCs w:val="18"/>
              </w:rPr>
            </w:pPr>
          </w:p>
        </w:tc>
      </w:tr>
      <w:tr w14:paraId="768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DFDE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2F3B90A0">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DB17C2">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带固定防脱离锁栓，在360度旋转时，</w:t>
            </w:r>
            <w:r>
              <w:rPr>
                <w:rFonts w:hint="eastAsia" w:asciiTheme="minorEastAsia" w:hAnsiTheme="minorEastAsia" w:eastAsiaTheme="minorEastAsia" w:cstheme="minorEastAsia"/>
                <w:spacing w:val="-3"/>
                <w:sz w:val="18"/>
                <w:szCs w:val="18"/>
              </w:rPr>
              <w:t>防止观察筒脱离，视场数≥20,倾斜角度</w:t>
            </w:r>
            <w:r>
              <w:rPr>
                <w:rFonts w:hint="eastAsia" w:asciiTheme="minorEastAsia" w:hAnsiTheme="minorEastAsia" w:eastAsiaTheme="minorEastAsia" w:cstheme="minorEastAsia"/>
                <w:spacing w:val="2"/>
                <w:sz w:val="18"/>
                <w:szCs w:val="18"/>
              </w:rPr>
              <w:t>≤30°0,瞳距调节范围不窄于48-75</w:t>
            </w:r>
            <w:r>
              <w:rPr>
                <w:rFonts w:hint="eastAsia" w:asciiTheme="minorEastAsia" w:hAnsiTheme="minorEastAsia" w:eastAsiaTheme="minorEastAsia" w:cstheme="minorEastAsia"/>
                <w:sz w:val="18"/>
                <w:szCs w:val="18"/>
              </w:rPr>
              <w:t>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9C5E29C">
            <w:pPr>
              <w:jc w:val="center"/>
              <w:rPr>
                <w:rFonts w:hint="eastAsia" w:asciiTheme="minorEastAsia" w:hAnsiTheme="minorEastAsia" w:eastAsiaTheme="minorEastAsia" w:cstheme="minorEastAsia"/>
                <w:sz w:val="18"/>
                <w:szCs w:val="18"/>
              </w:rPr>
            </w:pPr>
          </w:p>
        </w:tc>
      </w:tr>
      <w:tr w14:paraId="689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042C5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3AFDCDB0">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3D50A32">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3"/>
                <w:sz w:val="18"/>
                <w:szCs w:val="18"/>
              </w:rPr>
              <w:t>与显微镜机身固定的内旋式≥4孔物镜</w:t>
            </w:r>
            <w:r>
              <w:rPr>
                <w:rFonts w:hint="eastAsia" w:asciiTheme="minorEastAsia" w:hAnsiTheme="minorEastAsia" w:eastAsiaTheme="minorEastAsia" w:cstheme="minorEastAsia"/>
                <w:spacing w:val="-7"/>
                <w:sz w:val="18"/>
                <w:szCs w:val="18"/>
              </w:rPr>
              <w:t>转盘</w:t>
            </w:r>
          </w:p>
        </w:tc>
        <w:tc>
          <w:tcPr>
            <w:tcW w:w="1556" w:type="dxa"/>
            <w:tcBorders>
              <w:top w:val="single" w:color="auto" w:sz="4" w:space="0"/>
              <w:left w:val="single" w:color="auto" w:sz="4" w:space="0"/>
              <w:bottom w:val="single" w:color="auto" w:sz="4" w:space="0"/>
              <w:right w:val="single" w:color="auto" w:sz="4" w:space="0"/>
            </w:tcBorders>
            <w:noWrap/>
            <w:vAlign w:val="center"/>
          </w:tcPr>
          <w:p w14:paraId="4454E0D2">
            <w:pPr>
              <w:jc w:val="center"/>
              <w:rPr>
                <w:rFonts w:hint="eastAsia" w:asciiTheme="minorEastAsia" w:hAnsiTheme="minorEastAsia" w:eastAsiaTheme="minorEastAsia" w:cstheme="minorEastAsia"/>
                <w:sz w:val="18"/>
                <w:szCs w:val="18"/>
              </w:rPr>
            </w:pPr>
          </w:p>
        </w:tc>
      </w:tr>
      <w:tr w14:paraId="686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7807C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08588A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37005D5">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要求所提供的LED照明系统必须质量</w:t>
            </w:r>
            <w:r>
              <w:rPr>
                <w:rFonts w:hint="eastAsia" w:asciiTheme="minorEastAsia" w:hAnsiTheme="minorEastAsia" w:eastAsiaTheme="minorEastAsia" w:cstheme="minorEastAsia"/>
                <w:spacing w:val="1"/>
                <w:sz w:val="18"/>
                <w:szCs w:val="18"/>
              </w:rPr>
              <w:t>优秀，有很好的光透效率，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1"/>
                <w:sz w:val="18"/>
                <w:szCs w:val="18"/>
              </w:rPr>
              <w:t>光源使用</w:t>
            </w:r>
            <w:r>
              <w:rPr>
                <w:rFonts w:hint="eastAsia" w:asciiTheme="minorEastAsia" w:hAnsiTheme="minorEastAsia" w:eastAsiaTheme="minorEastAsia" w:cstheme="minorEastAsia"/>
                <w:sz w:val="18"/>
                <w:szCs w:val="18"/>
              </w:rPr>
              <w:t>寿命长≥20000小时，要求光源是由底部</w:t>
            </w:r>
            <w:r>
              <w:rPr>
                <w:rFonts w:hint="eastAsia" w:asciiTheme="minorEastAsia" w:hAnsiTheme="minorEastAsia" w:eastAsiaTheme="minorEastAsia" w:cstheme="minorEastAsia"/>
                <w:spacing w:val="11"/>
                <w:sz w:val="18"/>
                <w:szCs w:val="18"/>
              </w:rPr>
              <w:t>安装，令整机高度一体化</w:t>
            </w:r>
          </w:p>
        </w:tc>
        <w:tc>
          <w:tcPr>
            <w:tcW w:w="1556" w:type="dxa"/>
            <w:tcBorders>
              <w:top w:val="single" w:color="auto" w:sz="4" w:space="0"/>
              <w:left w:val="single" w:color="auto" w:sz="4" w:space="0"/>
              <w:bottom w:val="single" w:color="auto" w:sz="4" w:space="0"/>
              <w:right w:val="single" w:color="auto" w:sz="4" w:space="0"/>
            </w:tcBorders>
            <w:noWrap/>
            <w:vAlign w:val="center"/>
          </w:tcPr>
          <w:p w14:paraId="41A3A447">
            <w:pPr>
              <w:jc w:val="center"/>
              <w:rPr>
                <w:rFonts w:hint="eastAsia" w:asciiTheme="minorEastAsia" w:hAnsiTheme="minorEastAsia" w:eastAsiaTheme="minorEastAsia" w:cstheme="minorEastAsia"/>
                <w:sz w:val="18"/>
                <w:szCs w:val="18"/>
              </w:rPr>
            </w:pPr>
          </w:p>
        </w:tc>
      </w:tr>
      <w:tr w14:paraId="420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857E4E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C32178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67A96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9"/>
                <w:sz w:val="18"/>
                <w:szCs w:val="18"/>
              </w:rPr>
              <w:t>需要提供厂家或者总代理的售后服务承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2"/>
                <w:sz w:val="18"/>
                <w:szCs w:val="18"/>
              </w:rPr>
              <w:t>诺书，原件备查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71637137">
            <w:pPr>
              <w:jc w:val="center"/>
              <w:rPr>
                <w:rFonts w:hint="eastAsia" w:asciiTheme="minorEastAsia" w:hAnsiTheme="minorEastAsia" w:eastAsiaTheme="minorEastAsia" w:cstheme="minorEastAsia"/>
                <w:sz w:val="18"/>
                <w:szCs w:val="18"/>
              </w:rPr>
            </w:pPr>
          </w:p>
        </w:tc>
      </w:tr>
    </w:tbl>
    <w:p w14:paraId="2510BE74">
      <w:pPr>
        <w:jc w:val="center"/>
        <w:rPr>
          <w:rFonts w:hint="eastAsia" w:asciiTheme="minorEastAsia" w:hAnsiTheme="minorEastAsia" w:eastAsiaTheme="minorEastAsia" w:cstheme="minorEastAsia"/>
          <w:sz w:val="21"/>
          <w:szCs w:val="21"/>
        </w:rPr>
      </w:pPr>
    </w:p>
    <w:p w14:paraId="5710684C">
      <w:pPr>
        <w:jc w:val="center"/>
        <w:rPr>
          <w:rFonts w:hint="eastAsia" w:asciiTheme="minorEastAsia" w:hAnsiTheme="minorEastAsia" w:eastAsiaTheme="minorEastAsia" w:cstheme="minorEastAsia"/>
          <w:sz w:val="21"/>
          <w:szCs w:val="21"/>
        </w:rPr>
      </w:pPr>
    </w:p>
    <w:p w14:paraId="17538FDA">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05D3ABD">
      <w:pPr>
        <w:spacing w:line="360" w:lineRule="auto"/>
        <w:jc w:val="both"/>
        <w:outlineLvl w:val="0"/>
        <w:rPr>
          <w:rFonts w:hint="eastAsia" w:ascii="宋体" w:hAnsi="宋体" w:cs="宋体"/>
          <w:b/>
          <w:bCs/>
          <w:color w:val="FF0000"/>
          <w:sz w:val="24"/>
          <w:lang w:val="en-US" w:eastAsia="zh-CN"/>
        </w:rPr>
      </w:pPr>
    </w:p>
    <w:p w14:paraId="27ED2B8C">
      <w:pPr>
        <w:spacing w:line="360" w:lineRule="auto"/>
        <w:jc w:val="both"/>
        <w:outlineLvl w:val="0"/>
        <w:rPr>
          <w:rFonts w:hint="eastAsia" w:ascii="宋体" w:hAnsi="宋体" w:cs="宋体"/>
          <w:b/>
          <w:bCs/>
          <w:color w:val="FF0000"/>
          <w:sz w:val="24"/>
          <w:lang w:val="en-US" w:eastAsia="zh-CN"/>
        </w:rPr>
      </w:pPr>
    </w:p>
    <w:p w14:paraId="3757429C">
      <w:pPr>
        <w:spacing w:line="360" w:lineRule="auto"/>
        <w:jc w:val="both"/>
        <w:outlineLvl w:val="0"/>
        <w:rPr>
          <w:rFonts w:hint="eastAsia" w:ascii="宋体" w:hAnsi="宋体" w:cs="宋体"/>
          <w:b/>
          <w:bCs/>
          <w:color w:val="FF0000"/>
          <w:sz w:val="24"/>
          <w:lang w:val="en-US" w:eastAsia="zh-CN"/>
        </w:rPr>
      </w:pPr>
    </w:p>
    <w:p w14:paraId="2C66410E">
      <w:pPr>
        <w:spacing w:line="360" w:lineRule="auto"/>
        <w:jc w:val="both"/>
        <w:outlineLvl w:val="0"/>
        <w:rPr>
          <w:rFonts w:hint="eastAsia" w:ascii="宋体" w:hAnsi="宋体" w:cs="宋体"/>
          <w:b/>
          <w:bCs/>
          <w:color w:val="FF0000"/>
          <w:sz w:val="24"/>
          <w:lang w:val="en-US" w:eastAsia="zh-CN"/>
        </w:rPr>
      </w:pPr>
    </w:p>
    <w:p w14:paraId="315D5FB5">
      <w:pPr>
        <w:spacing w:line="360" w:lineRule="auto"/>
        <w:jc w:val="both"/>
        <w:outlineLvl w:val="0"/>
        <w:rPr>
          <w:rFonts w:hint="eastAsia" w:ascii="宋体" w:hAnsi="宋体" w:cs="宋体"/>
          <w:b/>
          <w:bCs/>
          <w:color w:val="FF0000"/>
          <w:sz w:val="24"/>
          <w:lang w:val="en-US" w:eastAsia="zh-CN"/>
        </w:rPr>
      </w:pPr>
    </w:p>
    <w:p w14:paraId="3EDB9B06">
      <w:pPr>
        <w:spacing w:line="360" w:lineRule="auto"/>
        <w:jc w:val="both"/>
        <w:outlineLvl w:val="0"/>
        <w:rPr>
          <w:rFonts w:hint="eastAsia" w:ascii="宋体" w:hAnsi="宋体" w:cs="宋体"/>
          <w:b/>
          <w:bCs/>
          <w:color w:val="FF0000"/>
          <w:sz w:val="24"/>
          <w:lang w:val="en-US" w:eastAsia="zh-CN"/>
        </w:rPr>
      </w:pPr>
    </w:p>
    <w:p w14:paraId="4EEF4D43">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全自动尿液分析流水线设备功能要求响应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17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37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2BE9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8"/>
                <w:szCs w:val="28"/>
                <w:lang w:val="en-US" w:eastAsia="zh-CN"/>
              </w:rPr>
              <w:t>全自动尿液分析流水线</w:t>
            </w:r>
          </w:p>
        </w:tc>
      </w:tr>
      <w:tr w14:paraId="51D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66C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AAE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5CE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880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E6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3AF88B">
            <w:pPr>
              <w:pStyle w:val="23"/>
              <w:spacing w:before="49" w:line="277" w:lineRule="auto"/>
              <w:ind w:left="20" w:firstLine="29"/>
            </w:pPr>
            <w:r>
              <w:rPr>
                <w:spacing w:val="3"/>
              </w:rPr>
              <w:t>全自动干化学尿液分析仪：与适配试剂配合使用，可测量人体尿液样本</w:t>
            </w:r>
            <w:r>
              <w:rPr>
                <w:spacing w:val="2"/>
              </w:rPr>
              <w:t>中尿胆原、</w:t>
            </w:r>
            <w:r>
              <w:t xml:space="preserve"> 胆红素、酮体、血、蛋白质、亚硝酸盐、白细胞、葡萄糖、</w:t>
            </w:r>
            <w:r>
              <w:rPr>
                <w:spacing w:val="-1"/>
              </w:rPr>
              <w:t>比重、酸碱度、维生素</w:t>
            </w:r>
          </w:p>
          <w:p w14:paraId="33592627">
            <w:pPr>
              <w:pStyle w:val="23"/>
              <w:spacing w:line="219" w:lineRule="auto"/>
              <w:ind w:left="50"/>
            </w:pPr>
            <w:r>
              <w:t>C、微白蛋白肌酐、尿钙、尿液颜色、浊度、电导率。</w:t>
            </w:r>
          </w:p>
          <w:p w14:paraId="1225EFFB">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3"/>
              </w:rPr>
              <w:t>全自动尿液有形成分分析仪：用于人体尿液中有形成分的分析和计数，可检测正常</w:t>
            </w:r>
            <w:r>
              <w:t xml:space="preserve">   </w:t>
            </w:r>
            <w:r>
              <w:rPr>
                <w:spacing w:val="-2"/>
              </w:rPr>
              <w:t>红细胞、小红细胞、棘形红细胞、影红细胞、其他异性红细胞、白细胞、白细胞团、</w:t>
            </w:r>
            <w:r>
              <w:rPr>
                <w:spacing w:val="7"/>
              </w:rPr>
              <w:t xml:space="preserve"> </w:t>
            </w:r>
            <w:r>
              <w:rPr>
                <w:spacing w:val="-3"/>
              </w:rPr>
              <w:t>鳞状上皮细胞、肾小管上皮细胞、尾形上皮细胞、小圆上皮细胞、透明管型、颗粒</w:t>
            </w:r>
            <w:r>
              <w:t xml:space="preserve">   </w:t>
            </w:r>
            <w:r>
              <w:rPr>
                <w:spacing w:val="-2"/>
              </w:rPr>
              <w:t>管型、蜡样管型、宽大管型、其他管型、杆菌、酵母菌、假丝酵母</w:t>
            </w:r>
            <w:r>
              <w:rPr>
                <w:spacing w:val="-3"/>
              </w:rPr>
              <w:t>菌、一水草酸钙</w:t>
            </w:r>
            <w:r>
              <w:t xml:space="preserve">   </w:t>
            </w:r>
            <w:r>
              <w:rPr>
                <w:spacing w:val="1"/>
              </w:rPr>
              <w:t>结晶、二水草酸钙结晶、尿酸结晶、磷酸铵镁结晶、无定型盐类结晶、其他结晶、</w:t>
            </w:r>
            <w:r>
              <w:rPr>
                <w:spacing w:val="4"/>
              </w:rPr>
              <w:t xml:space="preserve">  </w:t>
            </w:r>
            <w:r>
              <w:rPr>
                <w:spacing w:val="1"/>
              </w:rPr>
              <w:t>精子、粘液丝、疑似球菌。</w:t>
            </w:r>
          </w:p>
        </w:tc>
        <w:tc>
          <w:tcPr>
            <w:tcW w:w="3307" w:type="dxa"/>
            <w:tcBorders>
              <w:top w:val="single" w:color="auto" w:sz="4" w:space="0"/>
              <w:left w:val="single" w:color="auto" w:sz="4" w:space="0"/>
              <w:right w:val="single" w:color="auto" w:sz="4" w:space="0"/>
            </w:tcBorders>
            <w:shd w:val="clear" w:color="auto" w:fill="auto"/>
            <w:noWrap w:val="0"/>
            <w:vAlign w:val="top"/>
          </w:tcPr>
          <w:p w14:paraId="2FD33C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2D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EF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45C690">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t>具备尿液分析试纸条拍照存储功能及有形成分拍摄存储功能，可对急诊尿液干化学</w:t>
            </w:r>
            <w:r>
              <w:rPr>
                <w:spacing w:val="10"/>
              </w:rPr>
              <w:t xml:space="preserve"> </w:t>
            </w:r>
            <w:r>
              <w:t>分析的样本原始检测结果进行存储。</w:t>
            </w:r>
          </w:p>
        </w:tc>
        <w:tc>
          <w:tcPr>
            <w:tcW w:w="3307" w:type="dxa"/>
            <w:tcBorders>
              <w:top w:val="single" w:color="auto" w:sz="4" w:space="0"/>
              <w:left w:val="single" w:color="auto" w:sz="4" w:space="0"/>
              <w:right w:val="single" w:color="auto" w:sz="4" w:space="0"/>
            </w:tcBorders>
            <w:shd w:val="clear" w:color="auto" w:fill="auto"/>
            <w:noWrap w:val="0"/>
            <w:vAlign w:val="top"/>
          </w:tcPr>
          <w:p w14:paraId="14B5B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D2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ADE06">
            <w:pPr>
              <w:pStyle w:val="23"/>
              <w:spacing w:before="50" w:line="218" w:lineRule="auto"/>
              <w:ind w:left="50"/>
            </w:pPr>
            <w:r>
              <w:t>可快速对每个尿液中有形成分进行超过2000幅图片的高清</w:t>
            </w:r>
            <w:r>
              <w:rPr>
                <w:spacing w:val="-1"/>
              </w:rPr>
              <w:t>拍摄，并由AI进行多达</w:t>
            </w:r>
          </w:p>
          <w:p w14:paraId="5E9FE9B8">
            <w:pPr>
              <w:pStyle w:val="23"/>
              <w:spacing w:before="60" w:line="216" w:lineRule="auto"/>
              <w:ind w:left="20"/>
            </w:pPr>
            <w:r>
              <w:t>29项有形成分自动分类识别，尿有形成分自动识别准确率超过98%,对一些尿中异</w:t>
            </w:r>
          </w:p>
          <w:p w14:paraId="6C4A2312">
            <w:pPr>
              <w:pStyle w:val="23"/>
              <w:spacing w:before="52" w:line="219" w:lineRule="auto"/>
              <w:jc w:val="center"/>
              <w:rPr>
                <w:rFonts w:hint="eastAsia" w:asciiTheme="minorEastAsia" w:hAnsiTheme="minorEastAsia" w:eastAsiaTheme="minorEastAsia" w:cstheme="minorEastAsia"/>
                <w:color w:val="FF0000"/>
                <w:kern w:val="2"/>
                <w:sz w:val="18"/>
                <w:szCs w:val="18"/>
                <w:highlight w:val="yellow"/>
                <w:lang w:val="en-US" w:eastAsia="zh-CN" w:bidi="ar-SA"/>
              </w:rPr>
            </w:pPr>
            <w:r>
              <w:t>常成分，如肾小管上皮细胞、管型、异性红细胞等，均可清晰拍摄并自动识别，提</w:t>
            </w:r>
            <w:r>
              <w:rPr>
                <w:spacing w:val="8"/>
              </w:rPr>
              <w:t xml:space="preserve"> </w:t>
            </w:r>
            <w:r>
              <w:t>示临床疾病信息，如急性肾损伤，适合急诊使用。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49B02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71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B9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0AC98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可提供红细胞位相报告功能，可独立出具尿红细胞位相</w:t>
            </w:r>
            <w:r>
              <w:rPr>
                <w:spacing w:val="-1"/>
              </w:rPr>
              <w:t>报告，对于急诊血尿病人</w:t>
            </w:r>
            <w:r>
              <w:t xml:space="preserve"> </w:t>
            </w:r>
            <w:r>
              <w:rPr>
                <w:spacing w:val="-1"/>
              </w:rPr>
              <w:t>快速进行血尿来源的提示</w:t>
            </w:r>
          </w:p>
        </w:tc>
        <w:tc>
          <w:tcPr>
            <w:tcW w:w="3307" w:type="dxa"/>
            <w:tcBorders>
              <w:top w:val="single" w:color="auto" w:sz="4" w:space="0"/>
              <w:left w:val="single" w:color="auto" w:sz="4" w:space="0"/>
              <w:right w:val="single" w:color="auto" w:sz="4" w:space="0"/>
            </w:tcBorders>
            <w:shd w:val="clear" w:color="auto" w:fill="auto"/>
            <w:noWrap w:val="0"/>
            <w:vAlign w:val="top"/>
          </w:tcPr>
          <w:p w14:paraId="06517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4F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CB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36DE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可提供尿颜色、浊度、比重、电导率、渗透压五项理学指标；</w:t>
            </w:r>
            <w:r>
              <w:rPr>
                <w:spacing w:val="-1"/>
              </w:rPr>
              <w:t>干化学可选择10-14</w:t>
            </w:r>
            <w:r>
              <w:t xml:space="preserve"> 项尿液分析试纸进行检测，同时提供A/C,P/C比值</w:t>
            </w:r>
          </w:p>
        </w:tc>
        <w:tc>
          <w:tcPr>
            <w:tcW w:w="3307" w:type="dxa"/>
            <w:tcBorders>
              <w:top w:val="single" w:color="auto" w:sz="4" w:space="0"/>
              <w:left w:val="single" w:color="auto" w:sz="4" w:space="0"/>
              <w:right w:val="single" w:color="auto" w:sz="4" w:space="0"/>
            </w:tcBorders>
            <w:shd w:val="clear" w:color="auto" w:fill="auto"/>
            <w:noWrap w:val="0"/>
            <w:vAlign w:val="top"/>
          </w:tcPr>
          <w:p w14:paraId="1DE600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3B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8B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BD52C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单模块干化学检测速度360个测试/小时，有形成分检测速度18</w:t>
            </w:r>
            <w:r>
              <w:rPr>
                <w:spacing w:val="-1"/>
              </w:rPr>
              <w:t>0个测试/小时，2+4</w:t>
            </w:r>
            <w:r>
              <w:t xml:space="preserve"> 模块尿液分析流水线联合检测速度为720个标本/小时。</w:t>
            </w:r>
          </w:p>
        </w:tc>
        <w:tc>
          <w:tcPr>
            <w:tcW w:w="3307" w:type="dxa"/>
            <w:tcBorders>
              <w:top w:val="single" w:color="auto" w:sz="4" w:space="0"/>
              <w:left w:val="single" w:color="auto" w:sz="4" w:space="0"/>
              <w:right w:val="single" w:color="auto" w:sz="4" w:space="0"/>
            </w:tcBorders>
            <w:shd w:val="clear" w:color="auto" w:fill="auto"/>
            <w:noWrap w:val="0"/>
            <w:vAlign w:val="top"/>
          </w:tcPr>
          <w:p w14:paraId="16E645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BB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91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71CB8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检测成本低，只消耗尿液分析试纸、清洗液及尿有形成分分析用鞘液。</w:t>
            </w:r>
          </w:p>
        </w:tc>
        <w:tc>
          <w:tcPr>
            <w:tcW w:w="3307" w:type="dxa"/>
            <w:tcBorders>
              <w:top w:val="single" w:color="auto" w:sz="4" w:space="0"/>
              <w:left w:val="single" w:color="auto" w:sz="4" w:space="0"/>
              <w:right w:val="single" w:color="auto" w:sz="4" w:space="0"/>
            </w:tcBorders>
            <w:shd w:val="clear" w:color="auto" w:fill="auto"/>
            <w:noWrap w:val="0"/>
            <w:vAlign w:val="top"/>
          </w:tcPr>
          <w:p w14:paraId="557C88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9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47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CE314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有完善的质量控制体系，包括尿液干化学质控品、尿液干</w:t>
            </w:r>
            <w:r>
              <w:rPr>
                <w:spacing w:val="-1"/>
              </w:rPr>
              <w:t>化学与理学复合多项质控</w:t>
            </w:r>
            <w:r>
              <w:t xml:space="preserve"> 品、尿干化学与有形成分复合质控品、尿有形成分质控品、校准品、聚焦液等。</w:t>
            </w:r>
          </w:p>
        </w:tc>
        <w:tc>
          <w:tcPr>
            <w:tcW w:w="3307" w:type="dxa"/>
            <w:tcBorders>
              <w:top w:val="single" w:color="auto" w:sz="4" w:space="0"/>
              <w:left w:val="single" w:color="auto" w:sz="4" w:space="0"/>
              <w:right w:val="single" w:color="auto" w:sz="4" w:space="0"/>
            </w:tcBorders>
            <w:shd w:val="clear" w:color="auto" w:fill="auto"/>
            <w:noWrap w:val="0"/>
            <w:vAlign w:val="top"/>
          </w:tcPr>
          <w:p w14:paraId="26040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9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688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CB1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FF4CB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6D48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077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C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5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FEF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E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468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E9A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DF3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1C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41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C93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lang w:val="en-US" w:eastAsia="zh-CN"/>
              </w:rPr>
              <w:t>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39A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8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848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582B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02B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9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2F5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1741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283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8A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8FB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A36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8A8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E5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77F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E4F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1FD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5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B5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5B8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CB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E7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AAC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2FF1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057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6A5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EFC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D96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126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A6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5FBFA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3F059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91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663A81">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43A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E29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BFE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CB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44B455">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5FBC85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7E83E77">
            <w:pPr>
              <w:jc w:val="both"/>
              <w:rPr>
                <w:rFonts w:hint="eastAsia" w:asciiTheme="minorEastAsia" w:hAnsiTheme="minorEastAsia" w:eastAsiaTheme="minorEastAsia" w:cstheme="minorEastAsia"/>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80DFA7">
            <w:pPr>
              <w:jc w:val="center"/>
              <w:rPr>
                <w:rFonts w:hint="eastAsia" w:asciiTheme="minorEastAsia" w:hAnsiTheme="minorEastAsia" w:eastAsiaTheme="minorEastAsia" w:cstheme="minorEastAsia"/>
                <w:sz w:val="18"/>
                <w:szCs w:val="18"/>
              </w:rPr>
            </w:pPr>
          </w:p>
        </w:tc>
      </w:tr>
      <w:tr w14:paraId="695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511B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8858E60">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DB33FF">
            <w:pPr>
              <w:pStyle w:val="23"/>
              <w:spacing w:before="51" w:line="263" w:lineRule="auto"/>
              <w:ind w:left="89" w:hanging="49"/>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AD560">
            <w:pPr>
              <w:jc w:val="center"/>
              <w:rPr>
                <w:rFonts w:hint="eastAsia" w:asciiTheme="minorEastAsia" w:hAnsiTheme="minorEastAsia" w:eastAsiaTheme="minorEastAsia" w:cstheme="minorEastAsia"/>
                <w:sz w:val="18"/>
                <w:szCs w:val="18"/>
              </w:rPr>
            </w:pPr>
          </w:p>
        </w:tc>
      </w:tr>
      <w:tr w14:paraId="3B6B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CBA68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4AFD49">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F58170E">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33C02F">
            <w:pPr>
              <w:jc w:val="center"/>
              <w:rPr>
                <w:rFonts w:hint="eastAsia" w:asciiTheme="minorEastAsia" w:hAnsiTheme="minorEastAsia" w:eastAsiaTheme="minorEastAsia" w:cstheme="minorEastAsia"/>
                <w:sz w:val="18"/>
                <w:szCs w:val="18"/>
              </w:rPr>
            </w:pPr>
          </w:p>
        </w:tc>
      </w:tr>
      <w:tr w14:paraId="1E0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10F49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3771AE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7B7843D">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9414B3">
            <w:pPr>
              <w:jc w:val="center"/>
              <w:rPr>
                <w:rFonts w:hint="eastAsia" w:asciiTheme="minorEastAsia" w:hAnsiTheme="minorEastAsia" w:eastAsiaTheme="minorEastAsia" w:cstheme="minorEastAsia"/>
                <w:sz w:val="18"/>
                <w:szCs w:val="18"/>
              </w:rPr>
            </w:pPr>
          </w:p>
        </w:tc>
      </w:tr>
      <w:tr w14:paraId="291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A84A84">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B044DB">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AF5E20">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152DB5">
            <w:pPr>
              <w:jc w:val="center"/>
              <w:rPr>
                <w:rFonts w:hint="eastAsia" w:asciiTheme="minorEastAsia" w:hAnsiTheme="minorEastAsia" w:eastAsiaTheme="minorEastAsia" w:cstheme="minorEastAsia"/>
                <w:sz w:val="18"/>
                <w:szCs w:val="18"/>
              </w:rPr>
            </w:pPr>
          </w:p>
        </w:tc>
      </w:tr>
      <w:tr w14:paraId="3289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097CF9">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3D91791">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1A22E07">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39E833">
            <w:pPr>
              <w:jc w:val="center"/>
              <w:rPr>
                <w:rFonts w:hint="eastAsia" w:asciiTheme="minorEastAsia" w:hAnsiTheme="minorEastAsia" w:eastAsiaTheme="minorEastAsia" w:cstheme="minorEastAsia"/>
                <w:sz w:val="18"/>
                <w:szCs w:val="18"/>
              </w:rPr>
            </w:pPr>
          </w:p>
        </w:tc>
      </w:tr>
      <w:tr w14:paraId="081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13E8B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DAF575">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762592F">
            <w:pPr>
              <w:jc w:val="left"/>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B5E9240">
            <w:pPr>
              <w:jc w:val="center"/>
              <w:rPr>
                <w:rFonts w:hint="eastAsia" w:asciiTheme="minorEastAsia" w:hAnsiTheme="minorEastAsia" w:eastAsiaTheme="minorEastAsia" w:cstheme="minorEastAsia"/>
                <w:sz w:val="18"/>
                <w:szCs w:val="18"/>
              </w:rPr>
            </w:pPr>
          </w:p>
        </w:tc>
      </w:tr>
      <w:tr w14:paraId="249B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F5DE4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85DF32">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67775A">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B3A4B2">
            <w:pPr>
              <w:jc w:val="center"/>
              <w:rPr>
                <w:rFonts w:hint="eastAsia" w:asciiTheme="minorEastAsia" w:hAnsiTheme="minorEastAsia" w:eastAsiaTheme="minorEastAsia" w:cstheme="minorEastAsia"/>
                <w:sz w:val="18"/>
                <w:szCs w:val="18"/>
              </w:rPr>
            </w:pPr>
          </w:p>
        </w:tc>
      </w:tr>
      <w:tr w14:paraId="4C97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7B5C1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3CCFBC">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AC484DF">
            <w:pPr>
              <w:jc w:val="both"/>
              <w:rPr>
                <w:rFonts w:hint="eastAsia" w:asciiTheme="minorEastAsia" w:hAnsiTheme="minorEastAsia" w:eastAsiaTheme="minorEastAsia" w:cstheme="minorEastAsia"/>
                <w:color w:val="auto"/>
                <w:sz w:val="18"/>
                <w:szCs w:val="18"/>
                <w:lang w:val="en-US" w:eastAsia="zh-CN"/>
              </w:rPr>
            </w:pPr>
            <w:bookmarkStart w:id="64" w:name="_GoBack"/>
            <w:bookmarkEnd w:id="64"/>
          </w:p>
        </w:tc>
        <w:tc>
          <w:tcPr>
            <w:tcW w:w="1556" w:type="dxa"/>
            <w:tcBorders>
              <w:top w:val="single" w:color="auto" w:sz="4" w:space="0"/>
              <w:left w:val="single" w:color="auto" w:sz="4" w:space="0"/>
              <w:bottom w:val="single" w:color="auto" w:sz="4" w:space="0"/>
              <w:right w:val="single" w:color="auto" w:sz="4" w:space="0"/>
            </w:tcBorders>
            <w:noWrap/>
            <w:vAlign w:val="center"/>
          </w:tcPr>
          <w:p w14:paraId="722CADA9">
            <w:pPr>
              <w:jc w:val="center"/>
              <w:rPr>
                <w:rFonts w:hint="eastAsia" w:asciiTheme="minorEastAsia" w:hAnsiTheme="minorEastAsia" w:eastAsiaTheme="minorEastAsia" w:cstheme="minorEastAsia"/>
                <w:sz w:val="18"/>
                <w:szCs w:val="18"/>
              </w:rPr>
            </w:pPr>
          </w:p>
        </w:tc>
      </w:tr>
    </w:tbl>
    <w:p w14:paraId="7E887484">
      <w:pPr>
        <w:jc w:val="center"/>
        <w:rPr>
          <w:rFonts w:hint="eastAsia" w:asciiTheme="minorEastAsia" w:hAnsiTheme="minorEastAsia" w:eastAsiaTheme="minorEastAsia" w:cstheme="minorEastAsia"/>
          <w:sz w:val="21"/>
          <w:szCs w:val="21"/>
        </w:rPr>
      </w:pPr>
    </w:p>
    <w:p w14:paraId="08E1D165">
      <w:pPr>
        <w:jc w:val="center"/>
        <w:rPr>
          <w:rFonts w:hint="eastAsia" w:asciiTheme="minorEastAsia" w:hAnsiTheme="minorEastAsia" w:eastAsiaTheme="minorEastAsia" w:cstheme="minorEastAsia"/>
          <w:sz w:val="21"/>
          <w:szCs w:val="21"/>
        </w:rPr>
      </w:pPr>
    </w:p>
    <w:p w14:paraId="164C4FC4">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8287ABB">
      <w:pPr>
        <w:spacing w:line="360" w:lineRule="auto"/>
        <w:jc w:val="both"/>
        <w:outlineLvl w:val="0"/>
        <w:rPr>
          <w:rFonts w:hint="eastAsia" w:ascii="宋体" w:hAnsi="宋体" w:cs="宋体"/>
          <w:b/>
          <w:bCs/>
          <w:color w:val="FF0000"/>
          <w:sz w:val="24"/>
          <w:lang w:val="en-US" w:eastAsia="zh-CN"/>
        </w:rPr>
      </w:pPr>
    </w:p>
    <w:p w14:paraId="299340DB">
      <w:pPr>
        <w:spacing w:line="360" w:lineRule="auto"/>
        <w:jc w:val="both"/>
        <w:outlineLvl w:val="0"/>
        <w:rPr>
          <w:rFonts w:hint="eastAsia" w:ascii="宋体" w:hAnsi="宋体" w:cs="宋体"/>
          <w:b/>
          <w:bCs/>
          <w:color w:val="FF0000"/>
          <w:sz w:val="24"/>
          <w:lang w:val="en-US" w:eastAsia="zh-CN"/>
        </w:rPr>
      </w:pPr>
    </w:p>
    <w:p w14:paraId="73B36FDA">
      <w:pPr>
        <w:spacing w:line="360" w:lineRule="auto"/>
        <w:jc w:val="both"/>
        <w:outlineLvl w:val="0"/>
        <w:rPr>
          <w:rFonts w:hint="eastAsia" w:ascii="宋体" w:hAnsi="宋体" w:cs="宋体"/>
          <w:b/>
          <w:bCs/>
          <w:color w:val="FF0000"/>
          <w:sz w:val="24"/>
          <w:lang w:val="en-US" w:eastAsia="zh-CN"/>
        </w:rPr>
      </w:pPr>
    </w:p>
    <w:p w14:paraId="72C40671">
      <w:pPr>
        <w:spacing w:line="360" w:lineRule="auto"/>
        <w:jc w:val="both"/>
        <w:outlineLvl w:val="0"/>
        <w:rPr>
          <w:rFonts w:hint="eastAsia" w:ascii="宋体" w:hAnsi="宋体" w:cs="宋体"/>
          <w:b/>
          <w:bCs/>
          <w:color w:val="FF0000"/>
          <w:sz w:val="24"/>
          <w:lang w:val="en-US" w:eastAsia="zh-CN"/>
        </w:rPr>
      </w:pPr>
    </w:p>
    <w:p w14:paraId="3FD8842F">
      <w:pPr>
        <w:spacing w:line="360" w:lineRule="auto"/>
        <w:jc w:val="both"/>
        <w:outlineLvl w:val="0"/>
        <w:rPr>
          <w:rFonts w:hint="eastAsia" w:ascii="宋体" w:hAnsi="宋体" w:cs="宋体"/>
          <w:b/>
          <w:bCs/>
          <w:color w:val="FF0000"/>
          <w:sz w:val="24"/>
          <w:lang w:val="en-US" w:eastAsia="zh-CN"/>
        </w:rPr>
      </w:pPr>
    </w:p>
    <w:p w14:paraId="0C5887DB">
      <w:pPr>
        <w:spacing w:line="360" w:lineRule="auto"/>
        <w:jc w:val="center"/>
        <w:outlineLvl w:val="0"/>
        <w:rPr>
          <w:rFonts w:hint="eastAsia" w:ascii="宋体" w:hAnsi="宋体" w:cs="宋体"/>
          <w:b/>
          <w:bCs/>
          <w:sz w:val="28"/>
          <w:szCs w:val="28"/>
          <w:lang w:val="en-US" w:eastAsia="zh-CN"/>
        </w:rPr>
      </w:pPr>
    </w:p>
    <w:p w14:paraId="72E8552B">
      <w:pPr>
        <w:spacing w:line="360" w:lineRule="auto"/>
        <w:jc w:val="center"/>
        <w:outlineLvl w:val="0"/>
        <w:rPr>
          <w:rFonts w:hint="eastAsia" w:ascii="宋体" w:hAnsi="宋体" w:cs="宋体"/>
          <w:b/>
          <w:bCs/>
          <w:sz w:val="28"/>
          <w:szCs w:val="28"/>
          <w:lang w:val="en-US" w:eastAsia="zh-CN"/>
        </w:rPr>
      </w:pPr>
    </w:p>
    <w:p w14:paraId="08F78DFE">
      <w:pPr>
        <w:spacing w:line="360" w:lineRule="auto"/>
        <w:jc w:val="center"/>
        <w:outlineLvl w:val="0"/>
        <w:rPr>
          <w:rFonts w:hint="eastAsia" w:ascii="宋体" w:hAnsi="宋体" w:cs="宋体"/>
          <w:b/>
          <w:bCs/>
          <w:sz w:val="28"/>
          <w:szCs w:val="28"/>
          <w:lang w:val="en-US" w:eastAsia="zh-CN"/>
        </w:rPr>
      </w:pPr>
    </w:p>
    <w:p w14:paraId="266C1F98">
      <w:pPr>
        <w:spacing w:line="360" w:lineRule="auto"/>
        <w:jc w:val="center"/>
        <w:outlineLvl w:val="0"/>
        <w:rPr>
          <w:rFonts w:hint="eastAsia" w:ascii="宋体" w:hAnsi="宋体" w:cs="宋体"/>
          <w:b/>
          <w:bCs/>
          <w:sz w:val="28"/>
          <w:szCs w:val="28"/>
          <w:lang w:val="en-US" w:eastAsia="zh-CN"/>
        </w:rPr>
      </w:pPr>
    </w:p>
    <w:p w14:paraId="76C3F885">
      <w:pPr>
        <w:spacing w:line="360" w:lineRule="auto"/>
        <w:jc w:val="center"/>
        <w:outlineLvl w:val="0"/>
        <w:rPr>
          <w:rFonts w:hint="eastAsia" w:ascii="宋体" w:hAnsi="宋体" w:cs="宋体"/>
          <w:b/>
          <w:bCs/>
          <w:sz w:val="28"/>
          <w:szCs w:val="28"/>
          <w:lang w:val="en-US" w:eastAsia="zh-CN"/>
        </w:rPr>
      </w:pPr>
    </w:p>
    <w:p w14:paraId="05ED910B">
      <w:pPr>
        <w:spacing w:line="360" w:lineRule="auto"/>
        <w:jc w:val="center"/>
        <w:outlineLvl w:val="0"/>
        <w:rPr>
          <w:rFonts w:hint="eastAsia" w:ascii="宋体" w:hAnsi="宋体" w:cs="宋体"/>
          <w:b/>
          <w:bCs/>
          <w:sz w:val="28"/>
          <w:szCs w:val="28"/>
          <w:lang w:val="en-US" w:eastAsia="zh-CN"/>
        </w:rPr>
      </w:pPr>
    </w:p>
    <w:p w14:paraId="1C8D61B8">
      <w:pPr>
        <w:spacing w:line="360" w:lineRule="auto"/>
        <w:jc w:val="center"/>
        <w:outlineLvl w:val="0"/>
        <w:rPr>
          <w:rFonts w:hint="eastAsia" w:ascii="宋体" w:hAnsi="宋体" w:cs="宋体"/>
          <w:b/>
          <w:bCs/>
          <w:sz w:val="28"/>
          <w:szCs w:val="28"/>
          <w:lang w:val="en-US" w:eastAsia="zh-CN"/>
        </w:rPr>
      </w:pPr>
    </w:p>
    <w:p w14:paraId="7E672CCD">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心电监护仪设备功能要求响应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设备名称：心电监护仪</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73378B">
            <w:pPr>
              <w:pStyle w:val="23"/>
              <w:spacing w:before="34" w:line="214" w:lineRule="auto"/>
              <w:ind w:left="70"/>
            </w:pPr>
            <w:r>
              <w:rPr>
                <w:spacing w:val="5"/>
              </w:rPr>
              <w:t>实现心电(</w:t>
            </w:r>
            <w:r>
              <w:t>ECG</w:t>
            </w:r>
            <w:r>
              <w:rPr>
                <w:spacing w:val="5"/>
              </w:rPr>
              <w:t>)、血氧饱和度(</w:t>
            </w:r>
            <w:r>
              <w:t>SpO</w:t>
            </w:r>
            <w:r>
              <w:rPr>
                <w:rFonts w:ascii="Calibri" w:hAnsi="Calibri" w:eastAsia="Calibri" w:cs="Calibri"/>
                <w:spacing w:val="5"/>
              </w:rPr>
              <w:t>₂</w:t>
            </w:r>
            <w:r>
              <w:rPr>
                <w:spacing w:val="5"/>
              </w:rPr>
              <w:t>)、无创血压(</w:t>
            </w:r>
            <w:r>
              <w:t>NIBP</w:t>
            </w:r>
            <w:r>
              <w:rPr>
                <w:spacing w:val="5"/>
              </w:rPr>
              <w:t>)、呼吸(</w:t>
            </w:r>
            <w:r>
              <w:t>RESP</w:t>
            </w:r>
            <w:r>
              <w:rPr>
                <w:spacing w:val="5"/>
              </w:rPr>
              <w:t>)四大基</w:t>
            </w:r>
          </w:p>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20"/>
              </w:rPr>
              <w:t>础参数实时监</w:t>
            </w:r>
            <w:r>
              <w:rPr>
                <w:spacing w:val="-19"/>
              </w:rPr>
              <w:t>测，精准显示各项参数数值及波形，适</w:t>
            </w:r>
            <w:r>
              <w:rPr>
                <w:spacing w:val="-20"/>
              </w:rPr>
              <w:t>配不同人群测量模式，确保弱</w:t>
            </w:r>
            <w:r>
              <w:rPr>
                <w:spacing w:val="-14"/>
              </w:rPr>
              <w:t>灌</w:t>
            </w:r>
            <w:r>
              <w:t xml:space="preserve"> </w:t>
            </w:r>
            <w:r>
              <w:rPr>
                <w:spacing w:val="-1"/>
              </w:rPr>
              <w:t>注、运动等特殊状态下测量稳定。</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B49325">
            <w:pPr>
              <w:pStyle w:val="23"/>
              <w:spacing w:line="216" w:lineRule="auto"/>
              <w:ind w:left="10"/>
              <w:rPr>
                <w:rFonts w:hint="eastAsia"/>
                <w:spacing w:val="-1"/>
                <w:lang w:val="en-US" w:eastAsia="zh-CN"/>
              </w:rPr>
            </w:pPr>
            <w:r>
              <w:rPr>
                <w:rFonts w:hint="eastAsia"/>
                <w:spacing w:val="-1"/>
                <w:lang w:val="en-US" w:eastAsia="zh-CN"/>
              </w:rPr>
              <w:t>1.核心监护参数</w:t>
            </w:r>
          </w:p>
          <w:p w14:paraId="006ED9B6">
            <w:pPr>
              <w:pStyle w:val="23"/>
              <w:spacing w:line="216" w:lineRule="auto"/>
              <w:rPr>
                <w:rFonts w:hint="default"/>
                <w:spacing w:val="-1"/>
                <w:lang w:val="en-US" w:eastAsia="zh-CN"/>
              </w:rPr>
            </w:pPr>
            <w:r>
              <w:rPr>
                <w:rFonts w:hint="eastAsia"/>
                <w:spacing w:val="-1"/>
                <w:lang w:val="en-US" w:eastAsia="zh-CN"/>
              </w:rPr>
              <w:t>心电(ECG)</w:t>
            </w:r>
          </w:p>
          <w:p w14:paraId="7CB81F51">
            <w:pPr>
              <w:pStyle w:val="23"/>
              <w:spacing w:line="216" w:lineRule="auto"/>
              <w:ind w:left="10"/>
            </w:pPr>
            <w:r>
              <w:rPr>
                <w:spacing w:val="-1"/>
              </w:rPr>
              <w:t>导联模式：3导联/5导联/12导联(按需),支持标准/监护/滤波模式</w:t>
            </w:r>
          </w:p>
          <w:p w14:paraId="1A133C21">
            <w:pPr>
              <w:pStyle w:val="23"/>
              <w:spacing w:before="92" w:line="219" w:lineRule="auto"/>
              <w:ind w:left="10"/>
            </w:pPr>
            <w:r>
              <w:rPr>
                <w:spacing w:val="-1"/>
              </w:rPr>
              <w:t>心率范围：15^300次/分，精度±1次/分或±2%</w:t>
            </w:r>
          </w:p>
          <w:p w14:paraId="7080A424">
            <w:pPr>
              <w:pStyle w:val="23"/>
              <w:spacing w:before="27" w:line="219" w:lineRule="auto"/>
              <w:ind w:left="10"/>
            </w:pPr>
            <w:r>
              <w:t>抗十扰：抗肌电、工频、电刀干扰，具备起搏检测功能</w:t>
            </w:r>
          </w:p>
          <w:p w14:paraId="5ECA8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spacing w:val="-13"/>
              </w:rPr>
              <w:t>心律</w:t>
            </w:r>
            <w:r>
              <w:rPr>
                <w:spacing w:val="-12"/>
              </w:rPr>
              <w:t>失常分析：</w:t>
            </w:r>
            <w:r>
              <w:rPr>
                <w:rFonts w:hint="eastAsia"/>
                <w:spacing w:val="-12"/>
                <w:lang w:eastAsia="zh-CN"/>
              </w:rPr>
              <w:t>自动识别</w:t>
            </w:r>
            <w:r>
              <w:rPr>
                <w:spacing w:val="-12"/>
              </w:rPr>
              <w:t>室早、室速、室颤、房颤、停搏等，≥10种心律失常报</w:t>
            </w:r>
            <w:r>
              <w:rPr>
                <w:spacing w:val="-10"/>
              </w:rPr>
              <w:t>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266ED8">
            <w:pPr>
              <w:pStyle w:val="23"/>
              <w:spacing w:before="17" w:line="272" w:lineRule="auto"/>
              <w:ind w:left="10"/>
            </w:pPr>
            <w:r>
              <w:rPr>
                <w:spacing w:val="16"/>
              </w:rPr>
              <w:t>2</w:t>
            </w:r>
            <w:r>
              <w:rPr>
                <w:rFonts w:hint="eastAsia"/>
                <w:spacing w:val="16"/>
                <w:lang w:val="en-US" w:eastAsia="zh-CN"/>
              </w:rPr>
              <w:t>.</w:t>
            </w:r>
            <w:r>
              <w:rPr>
                <w:spacing w:val="16"/>
              </w:rPr>
              <w:t>血氧饱和度(</w:t>
            </w:r>
            <w:r>
              <w:t>SpO</w:t>
            </w:r>
            <w:r>
              <w:rPr>
                <w:rFonts w:ascii="Calibri" w:hAnsi="Calibri" w:eastAsia="Calibri" w:cs="Calibri"/>
                <w:spacing w:val="16"/>
              </w:rPr>
              <w:t>₂</w:t>
            </w:r>
            <w:r>
              <w:rPr>
                <w:spacing w:val="16"/>
              </w:rPr>
              <w:t>)</w:t>
            </w:r>
          </w:p>
          <w:p w14:paraId="01142F65">
            <w:pPr>
              <w:pStyle w:val="23"/>
              <w:spacing w:line="216" w:lineRule="auto"/>
              <w:ind w:left="10"/>
            </w:pPr>
            <w:r>
              <w:rPr>
                <w:spacing w:val="2"/>
              </w:rPr>
              <w:t>测量范围：0~100%,精度±2%(70%10</w:t>
            </w:r>
            <w:r>
              <w:rPr>
                <w:spacing w:val="1"/>
              </w:rPr>
              <w:t>0%)</w:t>
            </w:r>
          </w:p>
          <w:p w14:paraId="77C7E12E">
            <w:pPr>
              <w:pStyle w:val="23"/>
              <w:spacing w:before="44" w:line="273" w:lineRule="auto"/>
              <w:ind w:left="10" w:right="2459"/>
            </w:pPr>
            <w:r>
              <w:rPr>
                <w:spacing w:val="-1"/>
              </w:rPr>
              <w:t>脉率范围：20`250次/分，支持成人/小儿/新生儿探头</w:t>
            </w:r>
            <w:r>
              <w:rPr>
                <w:spacing w:val="16"/>
              </w:rPr>
              <w:t xml:space="preserve"> </w:t>
            </w:r>
            <w:r>
              <w:rPr>
                <w:spacing w:val="-1"/>
              </w:rPr>
              <w:t>抗运动干扰、弱灌注下稳定测量</w:t>
            </w:r>
          </w:p>
          <w:p w14:paraId="062C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27FBAF">
            <w:pPr>
              <w:pStyle w:val="23"/>
              <w:spacing w:line="220" w:lineRule="auto"/>
              <w:ind w:left="10"/>
            </w:pPr>
            <w:r>
              <w:rPr>
                <w:spacing w:val="5"/>
              </w:rPr>
              <w:t>3</w:t>
            </w:r>
            <w:r>
              <w:rPr>
                <w:rFonts w:hint="eastAsia"/>
                <w:spacing w:val="5"/>
                <w:lang w:val="en-US" w:eastAsia="zh-CN"/>
              </w:rPr>
              <w:t>.</w:t>
            </w:r>
            <w:r>
              <w:rPr>
                <w:spacing w:val="5"/>
              </w:rPr>
              <w:t>无创血压(</w:t>
            </w:r>
            <w:r>
              <w:t>NIBP</w:t>
            </w:r>
            <w:r>
              <w:rPr>
                <w:spacing w:val="5"/>
              </w:rPr>
              <w:t>)</w:t>
            </w:r>
          </w:p>
          <w:p w14:paraId="1722CB35">
            <w:pPr>
              <w:pStyle w:val="23"/>
              <w:spacing w:before="26" w:line="219" w:lineRule="auto"/>
              <w:ind w:left="10"/>
            </w:pPr>
            <w:r>
              <w:t>测量模式：手动/自动/连续/间隔测量，</w:t>
            </w:r>
            <w:r>
              <w:rPr>
                <w:spacing w:val="-1"/>
              </w:rPr>
              <w:t>成人/小儿/新生儿袖带</w:t>
            </w:r>
          </w:p>
          <w:p w14:paraId="17182BEE">
            <w:pPr>
              <w:pStyle w:val="23"/>
              <w:spacing w:before="49" w:line="214" w:lineRule="auto"/>
              <w:ind w:left="10"/>
            </w:pPr>
            <w:r>
              <w:t>测量范围：收缩压20~270mmlg,舒张压10~220mmHg,平均</w:t>
            </w:r>
            <w:r>
              <w:rPr>
                <w:spacing w:val="-1"/>
              </w:rPr>
              <w:t>压15`240mmHg</w:t>
            </w:r>
          </w:p>
          <w:p w14:paraId="3E16B81A">
            <w:pPr>
              <w:pStyle w:val="23"/>
              <w:spacing w:before="73" w:line="214" w:lineRule="auto"/>
              <w:ind w:left="10"/>
            </w:pPr>
            <w:r>
              <w:rPr>
                <w:spacing w:val="-1"/>
              </w:rPr>
              <w:t>精度：±3mmllg或±2%,过压保护、袖带</w:t>
            </w:r>
            <w:r>
              <w:rPr>
                <w:rFonts w:hint="eastAsia"/>
                <w:spacing w:val="-1"/>
                <w:lang w:eastAsia="zh-CN"/>
              </w:rPr>
              <w:t>自检</w:t>
            </w:r>
            <w:r>
              <w:rPr>
                <w:spacing w:val="-1"/>
              </w:rPr>
              <w:t>功能</w:t>
            </w:r>
          </w:p>
          <w:p w14:paraId="65750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F008AF">
            <w:pPr>
              <w:pStyle w:val="23"/>
              <w:spacing w:before="49" w:line="214" w:lineRule="auto"/>
              <w:ind w:left="10"/>
            </w:pPr>
            <w:r>
              <w:t>4、呼吸(RESP)</w:t>
            </w:r>
          </w:p>
          <w:p w14:paraId="26539743">
            <w:pPr>
              <w:pStyle w:val="23"/>
              <w:spacing w:before="49" w:line="214" w:lineRule="auto"/>
              <w:ind w:left="10"/>
            </w:pPr>
            <w:r>
              <w:t>测量方式：阻抗法/胸阻抗法，范围0~120次/分</w:t>
            </w:r>
          </w:p>
          <w:p w14:paraId="539F8E5F">
            <w:pPr>
              <w:pStyle w:val="23"/>
              <w:spacing w:before="49" w:line="214" w:lineRule="auto"/>
              <w:ind w:left="10"/>
            </w:pPr>
            <w:r>
              <w:t>呼吸暂停报警(默认20秒，可调节)</w:t>
            </w:r>
          </w:p>
          <w:p w14:paraId="385C8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49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2FF9E7">
            <w:pPr>
              <w:pStyle w:val="23"/>
              <w:spacing w:before="49" w:line="214" w:lineRule="auto"/>
              <w:ind w:left="10"/>
            </w:pPr>
            <w:r>
              <w:t>硬件与显示配置</w:t>
            </w:r>
          </w:p>
          <w:p w14:paraId="6A7DFD00">
            <w:pPr>
              <w:pStyle w:val="23"/>
              <w:spacing w:before="49" w:line="214" w:lineRule="auto"/>
              <w:ind w:left="10"/>
            </w:pPr>
            <w:r>
              <w:rPr>
                <w:rFonts w:hint="eastAsia"/>
                <w:lang w:val="en-US" w:eastAsia="zh-CN"/>
              </w:rPr>
              <w:t>1.</w:t>
            </w:r>
            <w:r>
              <w:t>显示屏</w:t>
            </w:r>
          </w:p>
          <w:p w14:paraId="02C4B220">
            <w:pPr>
              <w:pStyle w:val="23"/>
              <w:spacing w:before="49" w:line="214" w:lineRule="auto"/>
              <w:ind w:left="10"/>
            </w:pPr>
            <w:r>
              <w:t>尺寸：≥10.4英寸(常规),≥12英寸(ICUI/手术室),彩色TFT高清屏</w:t>
            </w:r>
          </w:p>
          <w:p w14:paraId="1EC48A75">
            <w:pPr>
              <w:pStyle w:val="23"/>
              <w:spacing w:before="49" w:line="214" w:lineRule="auto"/>
              <w:ind w:left="10"/>
            </w:pPr>
            <w:r>
              <w:t>分辨率：≥800×600,触摸屏+按键双操作，强光下可视</w:t>
            </w:r>
          </w:p>
          <w:p w14:paraId="4C98D4A8">
            <w:pPr>
              <w:pStyle w:val="23"/>
              <w:spacing w:before="49" w:line="214" w:lineRule="auto"/>
              <w:ind w:left="10"/>
            </w:pPr>
            <w:r>
              <w:t>显示模式：波形+数据同屏，支持多参数分区显示、波形冻结/回放</w:t>
            </w:r>
          </w:p>
          <w:p w14:paraId="6FAAF0E2">
            <w:pPr>
              <w:pStyle w:val="23"/>
              <w:spacing w:before="87" w:line="216" w:lineRule="auto"/>
              <w:ind w:left="10"/>
            </w:pPr>
            <w:r>
              <w:rPr>
                <w:spacing w:val="-1"/>
              </w:rPr>
              <w:t>视角；≥170°,方便多角度观察</w:t>
            </w:r>
          </w:p>
          <w:p w14:paraId="2E337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5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DDA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4FE966">
            <w:pPr>
              <w:pStyle w:val="23"/>
              <w:spacing w:before="122" w:line="219" w:lineRule="auto"/>
              <w:ind w:left="10"/>
            </w:pPr>
            <w:r>
              <w:rPr>
                <w:spacing w:val="2"/>
              </w:rPr>
              <w:t>2.主机与结构</w:t>
            </w:r>
          </w:p>
          <w:p w14:paraId="4B26506C">
            <w:pPr>
              <w:pStyle w:val="23"/>
              <w:spacing w:before="78" w:line="219" w:lineRule="auto"/>
              <w:ind w:left="10"/>
            </w:pPr>
            <w:r>
              <w:rPr>
                <w:spacing w:val="1"/>
              </w:rPr>
              <w:t>I机类型：口便携式1n推车式□壁扞式□转运专用(防摔、抗震)</w:t>
            </w:r>
          </w:p>
          <w:p w14:paraId="4520CA3A">
            <w:pPr>
              <w:pStyle w:val="23"/>
              <w:spacing w:before="95" w:line="216" w:lineRule="auto"/>
              <w:ind w:left="10"/>
            </w:pPr>
            <w:r>
              <w:t>外壳：医用级ABS,防腐蚀、易清洁、符合院感要求</w:t>
            </w:r>
          </w:p>
          <w:p w14:paraId="5DD34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t>电池：内置锂电池，续航≥4小时(待机/监护状态),支持热插拔、低电量报警</w:t>
            </w:r>
            <w:r>
              <w:rPr>
                <w:spacing w:val="1"/>
                <w:sz w:val="22"/>
                <w:szCs w:val="22"/>
              </w:rPr>
              <w:t>接口：≥2个</w:t>
            </w:r>
            <w:r>
              <w:rPr>
                <w:sz w:val="22"/>
                <w:szCs w:val="22"/>
              </w:rPr>
              <w:t>USB</w:t>
            </w:r>
            <w:r>
              <w:rPr>
                <w:spacing w:val="1"/>
                <w:sz w:val="22"/>
                <w:szCs w:val="22"/>
              </w:rPr>
              <w:t>、以太网(</w:t>
            </w:r>
            <w:r>
              <w:rPr>
                <w:sz w:val="22"/>
                <w:szCs w:val="22"/>
              </w:rPr>
              <w:t>RJ</w:t>
            </w:r>
            <w:r>
              <w:rPr>
                <w:spacing w:val="1"/>
                <w:sz w:val="22"/>
                <w:szCs w:val="22"/>
              </w:rPr>
              <w:t>45)、</w:t>
            </w:r>
            <w:r>
              <w:rPr>
                <w:sz w:val="22"/>
                <w:szCs w:val="22"/>
              </w:rPr>
              <w:t>WiFi</w:t>
            </w:r>
            <w:r>
              <w:rPr>
                <w:spacing w:val="1"/>
                <w:sz w:val="22"/>
                <w:szCs w:val="22"/>
              </w:rPr>
              <w:t>、蓝牙、</w:t>
            </w:r>
            <w:r>
              <w:rPr>
                <w:sz w:val="22"/>
                <w:szCs w:val="22"/>
              </w:rPr>
              <w:t>RS</w:t>
            </w:r>
            <w:r>
              <w:rPr>
                <w:spacing w:val="1"/>
                <w:sz w:val="22"/>
                <w:szCs w:val="22"/>
              </w:rPr>
              <w:t>23</w:t>
            </w:r>
            <w:r>
              <w:rPr>
                <w:sz w:val="22"/>
                <w:szCs w:val="22"/>
              </w:rPr>
              <w:t>2.支持数据导出/联网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364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A6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58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CDE363">
            <w:pPr>
              <w:pStyle w:val="23"/>
              <w:spacing w:before="289" w:line="219" w:lineRule="auto"/>
              <w:ind w:left="70"/>
              <w:rPr>
                <w:sz w:val="22"/>
                <w:szCs w:val="22"/>
              </w:rPr>
            </w:pPr>
            <w:r>
              <w:rPr>
                <w:spacing w:val="3"/>
                <w:sz w:val="22"/>
                <w:szCs w:val="22"/>
              </w:rPr>
              <w:t>3.报警系统(核心安全要求)</w:t>
            </w:r>
          </w:p>
          <w:p w14:paraId="34F2DCD0">
            <w:pPr>
              <w:pStyle w:val="23"/>
              <w:spacing w:before="86" w:line="218" w:lineRule="auto"/>
              <w:ind w:left="70"/>
              <w:rPr>
                <w:sz w:val="22"/>
                <w:szCs w:val="22"/>
              </w:rPr>
            </w:pPr>
            <w:r>
              <w:rPr>
                <w:spacing w:val="2"/>
                <w:sz w:val="22"/>
                <w:szCs w:val="22"/>
              </w:rPr>
              <w:t>报警级别：三级声光报警(红/黄/监，危急</w:t>
            </w:r>
            <w:r>
              <w:rPr>
                <w:spacing w:val="1"/>
                <w:sz w:val="22"/>
                <w:szCs w:val="22"/>
              </w:rPr>
              <w:t>/警告/提示)</w:t>
            </w:r>
          </w:p>
          <w:p w14:paraId="6C54B741">
            <w:pPr>
              <w:pStyle w:val="23"/>
              <w:spacing w:before="90" w:line="219" w:lineRule="auto"/>
              <w:ind w:left="60"/>
              <w:rPr>
                <w:sz w:val="22"/>
                <w:szCs w:val="22"/>
              </w:rPr>
            </w:pPr>
            <w:r>
              <w:rPr>
                <w:spacing w:val="1"/>
                <w:sz w:val="22"/>
                <w:szCs w:val="22"/>
              </w:rPr>
              <w:t>报警方式：声音(可调音量)+灯光+屏幕闪烁，报警暂停/静音功能(≤120秒)</w:t>
            </w:r>
          </w:p>
          <w:p w14:paraId="5D1687ED">
            <w:pPr>
              <w:pStyle w:val="23"/>
              <w:spacing w:before="120" w:line="219" w:lineRule="auto"/>
              <w:ind w:left="70"/>
              <w:rPr>
                <w:sz w:val="22"/>
                <w:szCs w:val="22"/>
              </w:rPr>
            </w:pPr>
            <w:r>
              <w:rPr>
                <w:sz w:val="22"/>
                <w:szCs w:val="22"/>
              </w:rPr>
              <w:t>报警存储：自动记录报警事件、时间、参数值，可追洲</w:t>
            </w:r>
          </w:p>
          <w:p w14:paraId="5FE5273B">
            <w:pPr>
              <w:pStyle w:val="23"/>
              <w:spacing w:before="98" w:line="219" w:lineRule="auto"/>
              <w:ind w:left="70"/>
              <w:rPr>
                <w:spacing w:val="-1"/>
                <w:sz w:val="22"/>
                <w:szCs w:val="22"/>
              </w:rPr>
            </w:pPr>
            <w:r>
              <w:rPr>
                <w:spacing w:val="-1"/>
                <w:sz w:val="22"/>
                <w:szCs w:val="22"/>
              </w:rPr>
              <w:t>报警阈值：可自定义上下限，默认标准阈值符合临床规范</w:t>
            </w:r>
          </w:p>
          <w:p w14:paraId="0D7FF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8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FC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F62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E6B414">
            <w:pPr>
              <w:pStyle w:val="23"/>
              <w:spacing w:before="98" w:line="219" w:lineRule="auto"/>
              <w:ind w:left="70"/>
              <w:rPr>
                <w:spacing w:val="-1"/>
                <w:sz w:val="22"/>
                <w:szCs w:val="22"/>
                <w:lang w:val="en-US" w:eastAsia="en-US"/>
              </w:rPr>
            </w:pPr>
            <w:r>
              <w:rPr>
                <w:rFonts w:hint="eastAsia"/>
                <w:spacing w:val="-1"/>
                <w:sz w:val="22"/>
                <w:szCs w:val="22"/>
                <w:lang w:val="en-US" w:eastAsia="zh-CN"/>
              </w:rPr>
              <w:t>4.</w:t>
            </w:r>
            <w:r>
              <w:rPr>
                <w:spacing w:val="-1"/>
                <w:sz w:val="22"/>
                <w:szCs w:val="22"/>
                <w:lang w:val="en-US" w:eastAsia="en-US"/>
              </w:rPr>
              <w:t xml:space="preserve">软件与数据管理 </w:t>
            </w:r>
          </w:p>
          <w:p w14:paraId="4E87F5F9">
            <w:pPr>
              <w:pStyle w:val="23"/>
              <w:spacing w:before="98" w:line="219" w:lineRule="auto"/>
              <w:ind w:left="70"/>
              <w:rPr>
                <w:spacing w:val="-1"/>
                <w:sz w:val="22"/>
                <w:szCs w:val="22"/>
                <w:lang w:val="en-US" w:eastAsia="en-US"/>
              </w:rPr>
            </w:pPr>
            <w:r>
              <w:rPr>
                <w:spacing w:val="-2"/>
                <w:sz w:val="22"/>
                <w:szCs w:val="22"/>
              </w:rPr>
              <w:t>数据记录与存储</w:t>
            </w:r>
          </w:p>
          <w:p w14:paraId="524299E4">
            <w:pPr>
              <w:pStyle w:val="23"/>
              <w:spacing w:before="1"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存储容量：≥72小时连续波形/数据存储，支持1000+病例存储</w:t>
            </w:r>
          </w:p>
          <w:p w14:paraId="6E8AE662">
            <w:pPr>
              <w:pStyle w:val="23"/>
              <w:spacing w:before="116" w:line="216"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记录功能：内置热敏打印机(可选),支持波形/数据/报警清单打印</w:t>
            </w:r>
          </w:p>
          <w:p w14:paraId="32AF83DE">
            <w:pPr>
              <w:pStyle w:val="23"/>
              <w:spacing w:before="96" w:line="310" w:lineRule="auto"/>
              <w:ind w:left="70" w:right="214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数据格式：支持PDF/CSV导出，兼容医院HIS/LIS/EMR系统 联网与远程监护</w:t>
            </w:r>
          </w:p>
          <w:p w14:paraId="105E18D9">
            <w:pPr>
              <w:pStyle w:val="23"/>
              <w:spacing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支持中央监护系统连接，多台设备联网集中监控</w:t>
            </w:r>
          </w:p>
          <w:p w14:paraId="34CEC50D">
            <w:pPr>
              <w:pStyle w:val="23"/>
              <w:spacing w:before="90" w:line="310" w:lineRule="auto"/>
              <w:ind w:left="70" w:right="216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支持无线WiFi/有线网络，数据实时上传，远程查看/报警 操作与维护</w:t>
            </w:r>
          </w:p>
          <w:p w14:paraId="3F680071">
            <w:pPr>
              <w:pStyle w:val="23"/>
              <w:spacing w:line="218"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中文界面，操作简单，支持用户权限分级(管理员/医护)</w:t>
            </w:r>
          </w:p>
          <w:p w14:paraId="61EE5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自检功能：开机自动检测传感器，电池、模块，故障报警提示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EE5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4CE235E3">
      <w:pPr>
        <w:outlineLvl w:val="0"/>
        <w:rPr>
          <w:rFonts w:hint="eastAsia" w:ascii="黑体" w:hAnsi="黑体" w:eastAsia="黑体"/>
          <w:b/>
          <w:sz w:val="36"/>
          <w:szCs w:val="36"/>
          <w:lang w:val="en-US" w:eastAsia="zh-CN"/>
        </w:rPr>
      </w:pPr>
    </w:p>
    <w:p w14:paraId="4C0D8244">
      <w:pPr>
        <w:spacing w:line="360" w:lineRule="auto"/>
        <w:jc w:val="both"/>
        <w:outlineLvl w:val="0"/>
        <w:rPr>
          <w:rFonts w:hint="eastAsia" w:ascii="宋体" w:hAnsi="宋体" w:cs="宋体"/>
          <w:b/>
          <w:bCs/>
          <w:color w:val="FF0000"/>
          <w:sz w:val="24"/>
          <w:lang w:val="en-US" w:eastAsia="zh-CN"/>
        </w:rPr>
      </w:pPr>
    </w:p>
    <w:p w14:paraId="4386FF19">
      <w:pPr>
        <w:outlineLvl w:val="0"/>
        <w:rPr>
          <w:rFonts w:hint="eastAsia" w:ascii="黑体" w:hAnsi="黑体" w:eastAsia="黑体"/>
          <w:b/>
          <w:sz w:val="36"/>
          <w:szCs w:val="36"/>
          <w:lang w:val="en-US" w:eastAsia="zh-CN"/>
        </w:rPr>
      </w:pPr>
    </w:p>
    <w:p w14:paraId="615B23E4">
      <w:pPr>
        <w:outlineLvl w:val="0"/>
        <w:rPr>
          <w:rFonts w:hint="eastAsia" w:ascii="黑体" w:hAnsi="黑体" w:eastAsia="黑体"/>
          <w:b/>
          <w:sz w:val="36"/>
          <w:szCs w:val="36"/>
          <w:lang w:val="en-US" w:eastAsia="zh-CN"/>
        </w:rPr>
      </w:pPr>
    </w:p>
    <w:p w14:paraId="05C645E9">
      <w:pPr>
        <w:outlineLvl w:val="0"/>
        <w:rPr>
          <w:rFonts w:hint="eastAsia" w:ascii="黑体" w:hAnsi="黑体" w:eastAsia="黑体"/>
          <w:b/>
          <w:sz w:val="36"/>
          <w:szCs w:val="36"/>
          <w:lang w:val="en-US" w:eastAsia="zh-CN"/>
        </w:rPr>
      </w:pPr>
    </w:p>
    <w:p w14:paraId="097F7689">
      <w:pPr>
        <w:outlineLvl w:val="0"/>
        <w:rPr>
          <w:rFonts w:hint="eastAsia" w:ascii="黑体" w:hAnsi="黑体" w:eastAsia="黑体"/>
          <w:b/>
          <w:sz w:val="36"/>
          <w:szCs w:val="36"/>
          <w:lang w:val="en-US" w:eastAsia="zh-CN"/>
        </w:rPr>
      </w:pPr>
    </w:p>
    <w:p w14:paraId="052C2B1F">
      <w:pPr>
        <w:outlineLvl w:val="0"/>
        <w:rPr>
          <w:rFonts w:hint="eastAsia" w:ascii="黑体" w:hAnsi="黑体" w:eastAsia="黑体"/>
          <w:b/>
          <w:sz w:val="36"/>
          <w:szCs w:val="36"/>
          <w:lang w:val="en-US" w:eastAsia="zh-CN"/>
        </w:rPr>
      </w:pPr>
    </w:p>
    <w:p w14:paraId="293163C1">
      <w:pPr>
        <w:outlineLvl w:val="0"/>
        <w:rPr>
          <w:rFonts w:hint="eastAsia" w:ascii="黑体" w:hAnsi="黑体" w:eastAsia="黑体"/>
          <w:b/>
          <w:sz w:val="36"/>
          <w:szCs w:val="36"/>
          <w:lang w:val="en-US" w:eastAsia="zh-CN"/>
        </w:rPr>
      </w:pPr>
    </w:p>
    <w:p w14:paraId="3EA65906">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9708"/>
      <w:bookmarkStart w:id="21" w:name="_Toc2775"/>
      <w:bookmarkStart w:id="22" w:name="_Toc98945850"/>
      <w:bookmarkStart w:id="23" w:name="_Toc98945517"/>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4037"/>
      <w:bookmarkStart w:id="34" w:name="_Toc3825"/>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18522"/>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3D21B2"/>
    <w:rsid w:val="005A0FB6"/>
    <w:rsid w:val="00D743B5"/>
    <w:rsid w:val="02433EBA"/>
    <w:rsid w:val="0275321B"/>
    <w:rsid w:val="02E21BC9"/>
    <w:rsid w:val="02F05C02"/>
    <w:rsid w:val="03B96DDC"/>
    <w:rsid w:val="04D806FC"/>
    <w:rsid w:val="05C07B0D"/>
    <w:rsid w:val="064D7B32"/>
    <w:rsid w:val="064F2C3F"/>
    <w:rsid w:val="06DB44D3"/>
    <w:rsid w:val="078E1545"/>
    <w:rsid w:val="079C33EA"/>
    <w:rsid w:val="07DC5C29"/>
    <w:rsid w:val="08602EE2"/>
    <w:rsid w:val="08D631A4"/>
    <w:rsid w:val="090916CE"/>
    <w:rsid w:val="0934684C"/>
    <w:rsid w:val="09657743"/>
    <w:rsid w:val="09930631"/>
    <w:rsid w:val="09950E27"/>
    <w:rsid w:val="0A6767AA"/>
    <w:rsid w:val="0B156206"/>
    <w:rsid w:val="0B1B1342"/>
    <w:rsid w:val="0C2105C6"/>
    <w:rsid w:val="0D701E19"/>
    <w:rsid w:val="0DAD4E1B"/>
    <w:rsid w:val="0E680D42"/>
    <w:rsid w:val="0EFE5203"/>
    <w:rsid w:val="0F16079E"/>
    <w:rsid w:val="0F307991"/>
    <w:rsid w:val="0FCB7000"/>
    <w:rsid w:val="109A074C"/>
    <w:rsid w:val="10EE19D3"/>
    <w:rsid w:val="11716160"/>
    <w:rsid w:val="11B20C52"/>
    <w:rsid w:val="12086AC4"/>
    <w:rsid w:val="12C16C73"/>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6551EF"/>
    <w:rsid w:val="1CA218C3"/>
    <w:rsid w:val="1CF77676"/>
    <w:rsid w:val="1D1344DE"/>
    <w:rsid w:val="1D9C6312"/>
    <w:rsid w:val="1DCB23FE"/>
    <w:rsid w:val="1E14234D"/>
    <w:rsid w:val="1F3247FA"/>
    <w:rsid w:val="20331C4E"/>
    <w:rsid w:val="208610BD"/>
    <w:rsid w:val="208F1FFE"/>
    <w:rsid w:val="20A976C4"/>
    <w:rsid w:val="213622DD"/>
    <w:rsid w:val="23192B3B"/>
    <w:rsid w:val="240F13E0"/>
    <w:rsid w:val="24311EAA"/>
    <w:rsid w:val="24A63F04"/>
    <w:rsid w:val="24F61D27"/>
    <w:rsid w:val="26170C2C"/>
    <w:rsid w:val="26313AFC"/>
    <w:rsid w:val="266C4A1A"/>
    <w:rsid w:val="26AF6371"/>
    <w:rsid w:val="26B0420B"/>
    <w:rsid w:val="26B26D02"/>
    <w:rsid w:val="26E8081A"/>
    <w:rsid w:val="28BE43E7"/>
    <w:rsid w:val="28E962AC"/>
    <w:rsid w:val="2A2542A4"/>
    <w:rsid w:val="2A6F51E9"/>
    <w:rsid w:val="2B270654"/>
    <w:rsid w:val="2B360C05"/>
    <w:rsid w:val="2B724D12"/>
    <w:rsid w:val="2C5B55EB"/>
    <w:rsid w:val="2CFF066C"/>
    <w:rsid w:val="2D1934DC"/>
    <w:rsid w:val="2D7A07B5"/>
    <w:rsid w:val="2DAC25A2"/>
    <w:rsid w:val="2DE44F07"/>
    <w:rsid w:val="2E3305CD"/>
    <w:rsid w:val="2F754BF7"/>
    <w:rsid w:val="2FCD5859"/>
    <w:rsid w:val="307800DA"/>
    <w:rsid w:val="309605D0"/>
    <w:rsid w:val="30E958BB"/>
    <w:rsid w:val="31484D58"/>
    <w:rsid w:val="320B4554"/>
    <w:rsid w:val="32A01CB7"/>
    <w:rsid w:val="32FC18D5"/>
    <w:rsid w:val="33DD1D36"/>
    <w:rsid w:val="343432F1"/>
    <w:rsid w:val="35A95619"/>
    <w:rsid w:val="36252EF1"/>
    <w:rsid w:val="365F2AC5"/>
    <w:rsid w:val="369167D9"/>
    <w:rsid w:val="371D1E1A"/>
    <w:rsid w:val="37EA43F2"/>
    <w:rsid w:val="3805122C"/>
    <w:rsid w:val="386A108F"/>
    <w:rsid w:val="38961E84"/>
    <w:rsid w:val="38E52197"/>
    <w:rsid w:val="39007C46"/>
    <w:rsid w:val="398B750F"/>
    <w:rsid w:val="39A01B07"/>
    <w:rsid w:val="3B3616FD"/>
    <w:rsid w:val="3BE13D5E"/>
    <w:rsid w:val="3CC638BA"/>
    <w:rsid w:val="3CD74F72"/>
    <w:rsid w:val="3D65451B"/>
    <w:rsid w:val="3D714C6E"/>
    <w:rsid w:val="3DAE1A1E"/>
    <w:rsid w:val="3E4E4FAF"/>
    <w:rsid w:val="3E802786"/>
    <w:rsid w:val="3EA1120A"/>
    <w:rsid w:val="3EA47CB6"/>
    <w:rsid w:val="3EFC4A0B"/>
    <w:rsid w:val="3F297917"/>
    <w:rsid w:val="3FA7331D"/>
    <w:rsid w:val="3FFA0F4B"/>
    <w:rsid w:val="406C796F"/>
    <w:rsid w:val="40AE54AA"/>
    <w:rsid w:val="413F7C42"/>
    <w:rsid w:val="41EA1493"/>
    <w:rsid w:val="42134C66"/>
    <w:rsid w:val="42402E61"/>
    <w:rsid w:val="42630F5F"/>
    <w:rsid w:val="43014CE6"/>
    <w:rsid w:val="430D71E7"/>
    <w:rsid w:val="44384737"/>
    <w:rsid w:val="44A430F5"/>
    <w:rsid w:val="44AC7440"/>
    <w:rsid w:val="45583E57"/>
    <w:rsid w:val="457572C5"/>
    <w:rsid w:val="463F7FFF"/>
    <w:rsid w:val="4751486C"/>
    <w:rsid w:val="475811E0"/>
    <w:rsid w:val="47797541"/>
    <w:rsid w:val="48054931"/>
    <w:rsid w:val="48961A2D"/>
    <w:rsid w:val="490746D8"/>
    <w:rsid w:val="49413407"/>
    <w:rsid w:val="494D684B"/>
    <w:rsid w:val="49733339"/>
    <w:rsid w:val="4A7A394A"/>
    <w:rsid w:val="4A8F2BD7"/>
    <w:rsid w:val="4AB7459E"/>
    <w:rsid w:val="4AE747C1"/>
    <w:rsid w:val="4B533C05"/>
    <w:rsid w:val="4C0D2006"/>
    <w:rsid w:val="4C3610C3"/>
    <w:rsid w:val="4CBB4158"/>
    <w:rsid w:val="4D36558C"/>
    <w:rsid w:val="4D8B30DC"/>
    <w:rsid w:val="4DB36BDD"/>
    <w:rsid w:val="4E5D70B7"/>
    <w:rsid w:val="4E9E5ADF"/>
    <w:rsid w:val="4F091C95"/>
    <w:rsid w:val="4F204746"/>
    <w:rsid w:val="4F4246BC"/>
    <w:rsid w:val="4F960564"/>
    <w:rsid w:val="4FE45009"/>
    <w:rsid w:val="506F328F"/>
    <w:rsid w:val="509B4084"/>
    <w:rsid w:val="51BA678C"/>
    <w:rsid w:val="51CB0999"/>
    <w:rsid w:val="51E47CAD"/>
    <w:rsid w:val="52174091"/>
    <w:rsid w:val="52AA6800"/>
    <w:rsid w:val="53566988"/>
    <w:rsid w:val="536F17F8"/>
    <w:rsid w:val="545E3D46"/>
    <w:rsid w:val="54644976"/>
    <w:rsid w:val="552F56E3"/>
    <w:rsid w:val="553E5926"/>
    <w:rsid w:val="55511924"/>
    <w:rsid w:val="555667CB"/>
    <w:rsid w:val="55747DDB"/>
    <w:rsid w:val="559439D6"/>
    <w:rsid w:val="57336FCA"/>
    <w:rsid w:val="57CF0E85"/>
    <w:rsid w:val="5872647C"/>
    <w:rsid w:val="5AA601F5"/>
    <w:rsid w:val="5AFC1BC3"/>
    <w:rsid w:val="5B461090"/>
    <w:rsid w:val="5B884B6D"/>
    <w:rsid w:val="5CA50038"/>
    <w:rsid w:val="5CD526CC"/>
    <w:rsid w:val="5D333896"/>
    <w:rsid w:val="5E2854D2"/>
    <w:rsid w:val="5E350A17"/>
    <w:rsid w:val="5E5B64C7"/>
    <w:rsid w:val="5EAE1198"/>
    <w:rsid w:val="5F2416E8"/>
    <w:rsid w:val="5FE87E07"/>
    <w:rsid w:val="60C76B80"/>
    <w:rsid w:val="611C05BC"/>
    <w:rsid w:val="61204131"/>
    <w:rsid w:val="617C3A5E"/>
    <w:rsid w:val="61AB60F1"/>
    <w:rsid w:val="620B63A7"/>
    <w:rsid w:val="63041F5D"/>
    <w:rsid w:val="6346457F"/>
    <w:rsid w:val="63716EC6"/>
    <w:rsid w:val="637349EC"/>
    <w:rsid w:val="637569B7"/>
    <w:rsid w:val="63957059"/>
    <w:rsid w:val="642108EC"/>
    <w:rsid w:val="65AC068A"/>
    <w:rsid w:val="65B805E0"/>
    <w:rsid w:val="65C21C5B"/>
    <w:rsid w:val="66011168"/>
    <w:rsid w:val="66C7577B"/>
    <w:rsid w:val="676C00D0"/>
    <w:rsid w:val="67972ADA"/>
    <w:rsid w:val="67CB1F47"/>
    <w:rsid w:val="686704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6F7C46D0"/>
    <w:rsid w:val="70952645"/>
    <w:rsid w:val="70CB4CC8"/>
    <w:rsid w:val="70EA4D5B"/>
    <w:rsid w:val="70F80C27"/>
    <w:rsid w:val="711409DB"/>
    <w:rsid w:val="71241A1C"/>
    <w:rsid w:val="714C1439"/>
    <w:rsid w:val="7150146A"/>
    <w:rsid w:val="71FB452B"/>
    <w:rsid w:val="72435ED2"/>
    <w:rsid w:val="72AB332E"/>
    <w:rsid w:val="736060B0"/>
    <w:rsid w:val="73BC3923"/>
    <w:rsid w:val="73FB4CB6"/>
    <w:rsid w:val="74EC2851"/>
    <w:rsid w:val="74EC45FF"/>
    <w:rsid w:val="753B0E3A"/>
    <w:rsid w:val="75CD65C9"/>
    <w:rsid w:val="75D51537"/>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EF24F07"/>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8653</Words>
  <Characters>9848</Characters>
  <Lines>0</Lines>
  <Paragraphs>0</Paragraphs>
  <TotalTime>7</TotalTime>
  <ScaleCrop>false</ScaleCrop>
  <LinksUpToDate>false</LinksUpToDate>
  <CharactersWithSpaces>10506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2026-04-16T00:54:58Z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