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BDCAD2">
      <w:pPr>
        <w:spacing w:line="360" w:lineRule="auto"/>
        <w:jc w:val="center"/>
        <w:rPr>
          <w:rFonts w:hint="eastAsia" w:ascii="仿宋" w:hAnsi="仿宋" w:eastAsia="仿宋"/>
          <w:sz w:val="32"/>
          <w:szCs w:val="32"/>
        </w:rPr>
      </w:pPr>
      <w:bookmarkStart w:id="0" w:name="_GoBack"/>
      <w:r>
        <w:rPr>
          <w:rFonts w:hint="eastAsia" w:ascii="仿宋" w:hAnsi="仿宋" w:eastAsia="仿宋"/>
          <w:sz w:val="32"/>
          <w:szCs w:val="40"/>
          <w:lang w:eastAsia="zh-CN"/>
        </w:rPr>
        <w:t>婴儿培养箱</w:t>
      </w:r>
      <w:r>
        <w:rPr>
          <w:rFonts w:hint="eastAsia" w:ascii="仿宋" w:hAnsi="仿宋" w:eastAsia="仿宋"/>
          <w:sz w:val="32"/>
          <w:szCs w:val="32"/>
        </w:rPr>
        <w:t>技术要求与商务要求</w:t>
      </w:r>
      <w:bookmarkEnd w:id="0"/>
    </w:p>
    <w:p w14:paraId="7610BA1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" w:hAnsi="仿宋" w:eastAsia="仿宋"/>
          <w:sz w:val="32"/>
          <w:szCs w:val="40"/>
          <w:lang w:eastAsia="zh-CN"/>
        </w:rPr>
      </w:pPr>
    </w:p>
    <w:p w14:paraId="59F9F3A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rPr>
          <w:rFonts w:hint="default" w:ascii="微软雅黑" w:hAnsi="微软雅黑" w:eastAsia="微软雅黑" w:cs="宋体"/>
          <w:b/>
          <w:bCs w:val="0"/>
          <w:i w:val="0"/>
          <w:i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/>
          <w:sz w:val="32"/>
          <w:szCs w:val="40"/>
        </w:rPr>
        <w:t>（</w:t>
      </w:r>
      <w:r>
        <w:rPr>
          <w:rFonts w:hint="eastAsia" w:ascii="仿宋" w:hAnsi="仿宋" w:eastAsia="仿宋"/>
          <w:sz w:val="32"/>
          <w:szCs w:val="40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40"/>
        </w:rPr>
        <w:t>）技术要求</w:t>
      </w:r>
      <w:r>
        <w:rPr>
          <w:rFonts w:hint="eastAsia" w:ascii="仿宋" w:hAnsi="仿宋" w:eastAsia="仿宋"/>
          <w:sz w:val="32"/>
          <w:szCs w:val="32"/>
        </w:rPr>
        <w:t>：</w:t>
      </w:r>
    </w:p>
    <w:p w14:paraId="4073862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zh-CN"/>
        </w:rPr>
        <w:t>具有箱温和肤温两种温度控制模式；</w:t>
      </w:r>
    </w:p>
    <w:p w14:paraId="7F82CD2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zh-CN"/>
        </w:rPr>
        <w:t>具有湿度显示功能和湿度控制功能；</w:t>
      </w:r>
    </w:p>
    <w:p w14:paraId="572A34F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zh-CN"/>
        </w:rPr>
        <w:t>设置温度、箱内温度、皮肤温度、湿度分屏显示；</w:t>
      </w:r>
    </w:p>
    <w:p w14:paraId="5BD7642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zh-CN"/>
        </w:rPr>
        <w:t>独立的超温保护系统；</w:t>
      </w:r>
    </w:p>
    <w:p w14:paraId="54A7A47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zh-CN"/>
        </w:rPr>
        <w:t>独立的风道传感器检测超温及风道堵塞报警；</w:t>
      </w:r>
    </w:p>
    <w:p w14:paraId="37DB79E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zh-CN"/>
        </w:rPr>
        <w:t>婴儿床倾斜角度无级可调功能；</w:t>
      </w:r>
    </w:p>
    <w:p w14:paraId="576E701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zh-CN"/>
        </w:rPr>
        <w:t>产品具有自检功能，多种故障报警提示；</w:t>
      </w:r>
    </w:p>
    <w:p w14:paraId="1082B23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zh-CN"/>
        </w:rPr>
        <w:t>水箱采用PES塑料制作，整体水箱可以直接采用“高温高压”法消毒；</w:t>
      </w:r>
    </w:p>
    <w:p w14:paraId="10C78A3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zh-CN"/>
        </w:rPr>
        <w:t>蜗壳风道及直流离心式风机产生气压差，确保新鲜空气始终保持吸入；</w:t>
      </w:r>
    </w:p>
    <w:p w14:paraId="3C71605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zh-CN"/>
        </w:rPr>
        <w:t>整体储热铝水槽，能大幅降低温度波动；</w:t>
      </w:r>
    </w:p>
    <w:p w14:paraId="6A1D141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zh-CN"/>
        </w:rPr>
        <w:t>前面板具有温度校正功能；</w:t>
      </w:r>
    </w:p>
    <w:p w14:paraId="35D726A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zh-CN"/>
        </w:rPr>
        <w:t>具有肤温传感器脱落报警提示功能；</w:t>
      </w:r>
    </w:p>
    <w:p w14:paraId="1B83A06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zh-CN"/>
        </w:rPr>
        <w:t>具有数据储存功能；</w:t>
      </w:r>
    </w:p>
    <w:p w14:paraId="4A60C94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zh-CN"/>
        </w:rPr>
        <w:t>具有正门独立锁定装置；</w:t>
      </w:r>
    </w:p>
    <w:p w14:paraId="1D7B24F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zh-CN"/>
        </w:rPr>
        <w:t>具有RS-232接口；</w:t>
      </w:r>
    </w:p>
    <w:p w14:paraId="6F50415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zh-CN"/>
        </w:rPr>
        <w:t>故障报警: 断电、传感器、 偏差、超温、风道循环、缺水、水箱位置、系统等</w:t>
      </w:r>
    </w:p>
    <w:p w14:paraId="711C74D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b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zh-CN"/>
        </w:rPr>
        <w:t>采用低噪音的无刷直流电机。</w:t>
      </w:r>
    </w:p>
    <w:p w14:paraId="245FDE53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49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textAlignment w:val="auto"/>
        <w:rPr>
          <w:rFonts w:hint="eastAsia" w:ascii="宋体" w:hAnsi="宋体" w:eastAsia="宋体" w:cs="宋体"/>
          <w:b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color w:val="000000"/>
          <w:sz w:val="24"/>
          <w:szCs w:val="24"/>
        </w:rPr>
        <w:t>产品</w:t>
      </w:r>
      <w:r>
        <w:rPr>
          <w:rFonts w:hint="eastAsia" w:ascii="宋体" w:hAnsi="宋体" w:eastAsia="宋体" w:cs="宋体"/>
          <w:b/>
          <w:color w:val="000000"/>
          <w:sz w:val="24"/>
          <w:szCs w:val="24"/>
          <w:lang w:val="en-US" w:eastAsia="zh-CN"/>
        </w:rPr>
        <w:t>性能</w:t>
      </w:r>
    </w:p>
    <w:p w14:paraId="46D6112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60" w:leftChars="0" w:firstLine="480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工作电源：</w:t>
      </w:r>
      <w:r>
        <w:rPr>
          <w:rFonts w:hint="eastAsia" w:ascii="宋体" w:hAnsi="宋体" w:eastAsia="宋体" w:cs="宋体"/>
          <w:sz w:val="24"/>
          <w:szCs w:val="24"/>
        </w:rPr>
        <w:t>AC220V/50Hz</w:t>
      </w:r>
    </w:p>
    <w:p w14:paraId="22B7D28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60" w:leftChars="0" w:firstLine="480" w:firstLineChars="0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输入功率：≤1000VA</w:t>
      </w:r>
    </w:p>
    <w:p w14:paraId="2FB7C0B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60" w:leftChars="0" w:firstLine="480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箱温控制范围</w:t>
      </w:r>
      <w:r>
        <w:rPr>
          <w:rFonts w:hint="eastAsia" w:ascii="宋体" w:hAnsi="宋体" w:eastAsia="宋体" w:cs="宋体"/>
          <w:b/>
          <w:color w:val="000000"/>
          <w:sz w:val="24"/>
          <w:szCs w:val="24"/>
        </w:rPr>
        <w:t>：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25～37℃</w:t>
      </w:r>
    </w:p>
    <w:p w14:paraId="462D2D5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60" w:leftChars="0" w:firstLine="480" w:firstLineChars="0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皮肤温度控制范围</w:t>
      </w:r>
      <w:r>
        <w:rPr>
          <w:rFonts w:hint="eastAsia" w:ascii="宋体" w:hAnsi="宋体" w:eastAsia="宋体" w:cs="宋体"/>
          <w:b/>
          <w:color w:val="000000"/>
          <w:sz w:val="24"/>
          <w:szCs w:val="24"/>
        </w:rPr>
        <w:t>：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34～37℃</w:t>
      </w:r>
    </w:p>
    <w:p w14:paraId="14DB8D7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60" w:leftChars="0" w:firstLine="480" w:firstLineChars="0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箱温和肤温显示温度范围</w:t>
      </w:r>
      <w:r>
        <w:rPr>
          <w:rFonts w:hint="eastAsia" w:ascii="宋体" w:hAnsi="宋体" w:eastAsia="宋体" w:cs="宋体"/>
          <w:b/>
          <w:color w:val="000000"/>
          <w:sz w:val="24"/>
          <w:szCs w:val="24"/>
        </w:rPr>
        <w:t>：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5～65℃</w:t>
      </w:r>
    </w:p>
    <w:p w14:paraId="27190CF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60" w:leftChars="0" w:firstLine="480" w:firstLineChars="0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升温时间：≤30min</w:t>
      </w:r>
    </w:p>
    <w:p w14:paraId="49B7D46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60" w:leftChars="0" w:firstLine="480" w:firstLineChars="0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培养箱温度与平均培养箱温度之差</w:t>
      </w:r>
      <w:r>
        <w:rPr>
          <w:rFonts w:hint="eastAsia" w:ascii="宋体" w:hAnsi="宋体" w:eastAsia="宋体" w:cs="宋体"/>
          <w:b/>
          <w:color w:val="000000"/>
          <w:sz w:val="24"/>
          <w:szCs w:val="24"/>
        </w:rPr>
        <w:t>：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 ≤0.5℃</w:t>
      </w:r>
    </w:p>
    <w:p w14:paraId="257B9EF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60" w:leftChars="0" w:firstLine="480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平均培养箱温度与控制温度之差</w:t>
      </w:r>
      <w:r>
        <w:rPr>
          <w:rFonts w:hint="eastAsia" w:ascii="宋体" w:hAnsi="宋体" w:eastAsia="宋体" w:cs="宋体"/>
          <w:sz w:val="24"/>
          <w:szCs w:val="24"/>
        </w:rPr>
        <w:t>：≤1.0℃</w:t>
      </w:r>
    </w:p>
    <w:p w14:paraId="60032D9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60" w:leftChars="0" w:firstLine="480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温度均匀性（床垫处于水平位置）：≤0.8℃</w:t>
      </w:r>
    </w:p>
    <w:p w14:paraId="03A30A8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60" w:leftChars="0" w:firstLine="480" w:firstLineChars="0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温度均匀性（床垫处于倾斜位置）：≤1.0℃</w:t>
      </w:r>
    </w:p>
    <w:p w14:paraId="69FAB09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60" w:leftChars="0" w:firstLine="480" w:firstLineChars="0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皮肤温度传感器精度</w:t>
      </w:r>
      <w:r>
        <w:rPr>
          <w:rFonts w:hint="eastAsia" w:ascii="宋体" w:hAnsi="宋体" w:eastAsia="宋体" w:cs="宋体"/>
          <w:b/>
          <w:color w:val="000000"/>
          <w:sz w:val="24"/>
          <w:szCs w:val="24"/>
        </w:rPr>
        <w:t>：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±0.2℃内</w:t>
      </w:r>
    </w:p>
    <w:p w14:paraId="7B98F59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60" w:leftChars="0" w:firstLine="480" w:firstLineChars="0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婴儿床倾斜角度:无级可调</w:t>
      </w:r>
    </w:p>
    <w:p w14:paraId="2FDF042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60" w:leftChars="0" w:firstLine="480" w:firstLineChars="0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婴儿舱内噪声: ≤45dB（A）（稳定温度状态下）</w:t>
      </w:r>
    </w:p>
    <w:p w14:paraId="444DC04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60" w:leftChars="0" w:firstLine="480" w:firstLineChars="0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湿度显示范围: 0%RH～99%RH</w:t>
      </w:r>
    </w:p>
    <w:p w14:paraId="2FEB2A6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60" w:leftChars="0" w:firstLine="480" w:firstLineChars="0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湿度控制范围: 20%RH～90%RH</w:t>
      </w:r>
    </w:p>
    <w:p w14:paraId="08537E8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60" w:leftChars="0" w:firstLine="480" w:firstLineChars="0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湿度控制精度</w:t>
      </w:r>
      <w:r>
        <w:rPr>
          <w:rFonts w:hint="eastAsia" w:ascii="宋体" w:hAnsi="宋体" w:eastAsia="宋体" w:cs="宋体"/>
          <w:b/>
          <w:color w:val="000000"/>
          <w:sz w:val="24"/>
          <w:szCs w:val="24"/>
        </w:rPr>
        <w:t>：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±10%RH</w:t>
      </w:r>
    </w:p>
    <w:p w14:paraId="7B33551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60" w:leftChars="0" w:firstLine="480" w:firstLineChars="0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床面上有效表面内的胆红素总辐照度均匀性：&gt;0.4</w:t>
      </w:r>
    </w:p>
    <w:p w14:paraId="6F0A2DE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60" w:leftChars="0" w:firstLine="480" w:firstLineChars="0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上黄疸治疗装置：</w:t>
      </w:r>
    </w:p>
    <w:p w14:paraId="439CB3C1"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420"/>
          <w:tab w:val="clear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65" w:leftChars="0" w:hanging="425" w:firstLineChars="0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床面上有效表面内的总辐照度：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vertAlign w:val="superscript"/>
        </w:rPr>
        <w:t xml:space="preserve">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≥1.7mW/cm</w:t>
      </w:r>
      <w:r>
        <w:rPr>
          <w:rFonts w:hint="eastAsia" w:ascii="宋体" w:hAnsi="宋体" w:eastAsia="宋体" w:cs="宋体"/>
          <w:color w:val="000000"/>
          <w:sz w:val="24"/>
          <w:szCs w:val="24"/>
          <w:vertAlign w:val="superscript"/>
        </w:rPr>
        <w:t>2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（光源为LED）</w:t>
      </w:r>
    </w:p>
    <w:p w14:paraId="7ECC42CD"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420"/>
          <w:tab w:val="clear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65" w:leftChars="0" w:hanging="425" w:firstLineChars="0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床面上有效表面内的胆红素总辐照度平均值： ≥1.3mW/cm</w:t>
      </w:r>
      <w:r>
        <w:rPr>
          <w:rFonts w:hint="eastAsia" w:ascii="宋体" w:hAnsi="宋体" w:eastAsia="宋体" w:cs="宋体"/>
          <w:color w:val="000000"/>
          <w:sz w:val="24"/>
          <w:szCs w:val="24"/>
          <w:vertAlign w:val="superscript"/>
        </w:rPr>
        <w:t xml:space="preserve">2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（光源为LED） </w:t>
      </w:r>
    </w:p>
    <w:p w14:paraId="00459DCE"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420"/>
          <w:tab w:val="clear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65" w:leftChars="0" w:hanging="425" w:firstLineChars="0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有效表面内的最高胆红素总辐照度：3.5mW/cm</w:t>
      </w:r>
      <w:r>
        <w:rPr>
          <w:rFonts w:hint="eastAsia" w:ascii="宋体" w:hAnsi="宋体" w:eastAsia="宋体" w:cs="宋体"/>
          <w:color w:val="000000"/>
          <w:sz w:val="24"/>
          <w:szCs w:val="24"/>
          <w:vertAlign w:val="superscript"/>
        </w:rPr>
        <w:t xml:space="preserve">2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（光源为LED）</w:t>
      </w:r>
    </w:p>
    <w:p w14:paraId="371E73F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60" w:leftChars="0" w:firstLine="480" w:firstLineChars="0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下黄疸治疗装置：</w:t>
      </w:r>
    </w:p>
    <w:p w14:paraId="2363F0FC">
      <w:pPr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420"/>
          <w:tab w:val="clear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65" w:leftChars="0" w:hanging="425" w:firstLineChars="0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床面上有效表面内的总辐照度：≥0.8mW/cm</w:t>
      </w:r>
      <w:r>
        <w:rPr>
          <w:rFonts w:hint="eastAsia" w:ascii="宋体" w:hAnsi="宋体" w:eastAsia="宋体" w:cs="宋体"/>
          <w:color w:val="000000"/>
          <w:sz w:val="24"/>
          <w:szCs w:val="24"/>
          <w:vertAlign w:val="superscript"/>
        </w:rPr>
        <w:t>2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（光源为LED）</w:t>
      </w:r>
    </w:p>
    <w:p w14:paraId="2447FE54">
      <w:pPr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420"/>
          <w:tab w:val="clear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65" w:leftChars="0" w:hanging="425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床面上有效表面内的胆红素总辐照度平均值：≥0.8mW/cm</w:t>
      </w:r>
      <w:r>
        <w:rPr>
          <w:rFonts w:hint="eastAsia" w:ascii="宋体" w:hAnsi="宋体" w:eastAsia="宋体" w:cs="宋体"/>
          <w:color w:val="000000"/>
          <w:sz w:val="24"/>
          <w:szCs w:val="24"/>
          <w:vertAlign w:val="superscript"/>
        </w:rPr>
        <w:t>2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（光源为LED）</w:t>
      </w:r>
    </w:p>
    <w:p w14:paraId="29079827">
      <w:pPr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420"/>
          <w:tab w:val="clear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65" w:leftChars="0" w:hanging="425" w:firstLineChars="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有效表面内的最高胆红素总辐照度：1.3mW/cm</w:t>
      </w:r>
      <w:r>
        <w:rPr>
          <w:rFonts w:hint="eastAsia" w:ascii="宋体" w:hAnsi="宋体" w:eastAsia="宋体" w:cs="宋体"/>
          <w:color w:val="000000"/>
          <w:sz w:val="24"/>
          <w:szCs w:val="24"/>
          <w:vertAlign w:val="superscript"/>
        </w:rPr>
        <w:t>2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（光源为LED）</w:t>
      </w:r>
    </w:p>
    <w:p w14:paraId="65D32EF6"/>
    <w:p w14:paraId="09F86A19">
      <w:pPr>
        <w:spacing w:line="360" w:lineRule="auto"/>
        <w:rPr>
          <w:rFonts w:hint="eastAsia" w:ascii="仿宋" w:hAnsi="仿宋" w:eastAsia="仿宋"/>
          <w:sz w:val="32"/>
          <w:szCs w:val="40"/>
        </w:rPr>
      </w:pPr>
      <w:r>
        <w:rPr>
          <w:rFonts w:hint="eastAsia" w:ascii="仿宋" w:hAnsi="仿宋" w:eastAsia="仿宋"/>
          <w:sz w:val="32"/>
          <w:szCs w:val="40"/>
          <w:lang w:eastAsia="zh-CN"/>
        </w:rPr>
        <w:t>（</w:t>
      </w:r>
      <w:r>
        <w:rPr>
          <w:rFonts w:hint="eastAsia" w:ascii="仿宋" w:hAnsi="仿宋" w:eastAsia="仿宋"/>
          <w:sz w:val="32"/>
          <w:szCs w:val="40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40"/>
          <w:lang w:eastAsia="zh-CN"/>
        </w:rPr>
        <w:t>）</w:t>
      </w:r>
      <w:r>
        <w:rPr>
          <w:rFonts w:hint="eastAsia" w:ascii="仿宋" w:hAnsi="仿宋" w:eastAsia="仿宋"/>
          <w:sz w:val="32"/>
          <w:szCs w:val="40"/>
        </w:rPr>
        <w:t>配置清单</w:t>
      </w:r>
    </w:p>
    <w:tbl>
      <w:tblPr>
        <w:tblStyle w:val="4"/>
        <w:tblW w:w="93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4"/>
        <w:gridCol w:w="709"/>
      </w:tblGrid>
      <w:tr w14:paraId="2F8BAA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5394" w:type="dxa"/>
            <w:noWrap w:val="0"/>
            <w:vAlign w:val="center"/>
          </w:tcPr>
          <w:p w14:paraId="7834AAF3">
            <w:pPr>
              <w:spacing w:line="280" w:lineRule="exact"/>
              <w:rPr>
                <w:rFonts w:ascii="方正兰亭细黑_GBK_M" w:hAnsi="方正兰亭细黑_GBK_M" w:eastAsia="方正兰亭细黑_GBK_M" w:cs="方正兰亭细黑_GBK_M"/>
                <w:sz w:val="24"/>
              </w:rPr>
            </w:pPr>
            <w:r>
              <w:rPr>
                <w:rFonts w:ascii="方正兰亭细黑_GBK_M" w:hAnsi="方正兰亭细黑_GBK_M" w:eastAsia="方正兰亭细黑_GBK_M" w:cs="方正兰亭细黑_GBK_M"/>
                <w:sz w:val="24"/>
              </w:rPr>
              <w:t>箱体</w:t>
            </w:r>
          </w:p>
        </w:tc>
        <w:tc>
          <w:tcPr>
            <w:tcW w:w="709" w:type="dxa"/>
            <w:noWrap w:val="0"/>
            <w:vAlign w:val="center"/>
          </w:tcPr>
          <w:p w14:paraId="3E8493E3">
            <w:pPr>
              <w:spacing w:line="280" w:lineRule="exact"/>
              <w:jc w:val="center"/>
              <w:rPr>
                <w:rFonts w:ascii="方正兰亭细黑_GBK_M" w:hAnsi="方正兰亭细黑_GBK_M" w:eastAsia="方正兰亭细黑_GBK_M" w:cs="方正兰亭细黑_GBK_M"/>
                <w:sz w:val="24"/>
              </w:rPr>
            </w:pPr>
            <w:r>
              <w:rPr>
                <w:rFonts w:ascii="方正兰亭细黑_GBK_M" w:hAnsi="方正兰亭细黑_GBK_M" w:eastAsia="方正兰亭细黑_GBK_M" w:cs="方正兰亭细黑_GBK_M"/>
                <w:sz w:val="24"/>
              </w:rPr>
              <w:t>1</w:t>
            </w:r>
          </w:p>
        </w:tc>
      </w:tr>
      <w:tr w14:paraId="241B6F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5394" w:type="dxa"/>
            <w:noWrap w:val="0"/>
            <w:vAlign w:val="center"/>
          </w:tcPr>
          <w:p w14:paraId="33A62AD5">
            <w:pPr>
              <w:spacing w:line="280" w:lineRule="exact"/>
              <w:rPr>
                <w:rFonts w:ascii="方正兰亭细黑_GBK_M" w:hAnsi="方正兰亭细黑_GBK_M" w:eastAsia="方正兰亭细黑_GBK_M" w:cs="方正兰亭细黑_GBK_M"/>
                <w:sz w:val="24"/>
              </w:rPr>
            </w:pPr>
            <w:r>
              <w:rPr>
                <w:rFonts w:ascii="方正兰亭细黑_GBK_M" w:hAnsi="方正兰亭细黑_GBK_M" w:eastAsia="方正兰亭细黑_GBK_M" w:cs="方正兰亭细黑_GBK_M"/>
                <w:sz w:val="24"/>
              </w:rPr>
              <w:t>脚轮</w:t>
            </w:r>
          </w:p>
        </w:tc>
        <w:tc>
          <w:tcPr>
            <w:tcW w:w="709" w:type="dxa"/>
            <w:noWrap w:val="0"/>
            <w:vAlign w:val="center"/>
          </w:tcPr>
          <w:p w14:paraId="6712ADC8">
            <w:pPr>
              <w:spacing w:line="280" w:lineRule="exact"/>
              <w:jc w:val="center"/>
              <w:rPr>
                <w:rFonts w:ascii="方正兰亭细黑_GBK_M" w:hAnsi="方正兰亭细黑_GBK_M" w:eastAsia="方正兰亭细黑_GBK_M" w:cs="方正兰亭细黑_GBK_M"/>
                <w:sz w:val="24"/>
              </w:rPr>
            </w:pPr>
            <w:r>
              <w:rPr>
                <w:rFonts w:hint="eastAsia" w:ascii="方正兰亭细黑_GBK_M" w:hAnsi="方正兰亭细黑_GBK_M" w:eastAsia="方正兰亭细黑_GBK_M" w:cs="方正兰亭细黑_GBK_M"/>
                <w:sz w:val="24"/>
              </w:rPr>
              <w:t>4</w:t>
            </w:r>
          </w:p>
        </w:tc>
      </w:tr>
      <w:tr w14:paraId="67B510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5394" w:type="dxa"/>
            <w:noWrap w:val="0"/>
            <w:vAlign w:val="center"/>
          </w:tcPr>
          <w:p w14:paraId="3CF8D83E">
            <w:pPr>
              <w:spacing w:line="280" w:lineRule="exact"/>
              <w:rPr>
                <w:rFonts w:hint="default" w:ascii="方正兰亭细黑_GBK_M" w:hAnsi="方正兰亭细黑_GBK_M" w:eastAsia="方正兰亭细黑_GBK_M" w:cs="方正兰亭细黑_GBK_M"/>
                <w:sz w:val="24"/>
                <w:lang w:val="en-US" w:eastAsia="zh-CN"/>
              </w:rPr>
            </w:pPr>
            <w:r>
              <w:rPr>
                <w:rFonts w:hint="eastAsia" w:ascii="方正兰亭细黑_GBK_M" w:hAnsi="方正兰亭细黑_GBK_M" w:eastAsia="方正兰亭细黑_GBK_M" w:cs="方正兰亭细黑_GBK_M"/>
                <w:sz w:val="24"/>
                <w:lang w:val="en-US" w:eastAsia="zh-CN"/>
              </w:rPr>
              <w:t>上黄疸治疗装置</w:t>
            </w:r>
          </w:p>
        </w:tc>
        <w:tc>
          <w:tcPr>
            <w:tcW w:w="709" w:type="dxa"/>
            <w:noWrap w:val="0"/>
            <w:vAlign w:val="center"/>
          </w:tcPr>
          <w:p w14:paraId="1A19A7CF">
            <w:pPr>
              <w:spacing w:line="280" w:lineRule="exact"/>
              <w:jc w:val="center"/>
              <w:rPr>
                <w:rFonts w:hint="eastAsia" w:ascii="方正兰亭细黑_GBK_M" w:hAnsi="方正兰亭细黑_GBK_M" w:eastAsia="方正兰亭细黑_GBK_M" w:cs="方正兰亭细黑_GBK_M"/>
                <w:sz w:val="24"/>
                <w:lang w:val="en-US" w:eastAsia="zh-CN"/>
              </w:rPr>
            </w:pPr>
            <w:r>
              <w:rPr>
                <w:rFonts w:hint="eastAsia" w:ascii="方正兰亭细黑_GBK_M" w:hAnsi="方正兰亭细黑_GBK_M" w:eastAsia="方正兰亭细黑_GBK_M" w:cs="方正兰亭细黑_GBK_M"/>
                <w:sz w:val="24"/>
                <w:lang w:val="en-US" w:eastAsia="zh-CN"/>
              </w:rPr>
              <w:t>1</w:t>
            </w:r>
          </w:p>
        </w:tc>
      </w:tr>
      <w:tr w14:paraId="472F81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5394" w:type="dxa"/>
            <w:noWrap w:val="0"/>
            <w:vAlign w:val="center"/>
          </w:tcPr>
          <w:p w14:paraId="768F28FE">
            <w:pPr>
              <w:spacing w:line="280" w:lineRule="exact"/>
              <w:rPr>
                <w:rFonts w:hint="eastAsia" w:ascii="方正兰亭细黑_GBK_M" w:hAnsi="方正兰亭细黑_GBK_M" w:eastAsia="方正兰亭细黑_GBK_M" w:cs="方正兰亭细黑_GBK_M"/>
                <w:sz w:val="24"/>
                <w:lang w:val="en-US" w:eastAsia="zh-CN"/>
              </w:rPr>
            </w:pPr>
            <w:r>
              <w:rPr>
                <w:rFonts w:hint="eastAsia" w:ascii="方正兰亭细黑_GBK_M" w:hAnsi="方正兰亭细黑_GBK_M" w:eastAsia="方正兰亭细黑_GBK_M" w:cs="方正兰亭细黑_GBK_M"/>
                <w:sz w:val="24"/>
                <w:lang w:val="en-US" w:eastAsia="zh-CN"/>
              </w:rPr>
              <w:t>下黄疸治疗装置</w:t>
            </w:r>
          </w:p>
        </w:tc>
        <w:tc>
          <w:tcPr>
            <w:tcW w:w="709" w:type="dxa"/>
            <w:noWrap w:val="0"/>
            <w:vAlign w:val="center"/>
          </w:tcPr>
          <w:p w14:paraId="0B978E29">
            <w:pPr>
              <w:spacing w:line="280" w:lineRule="exact"/>
              <w:jc w:val="center"/>
              <w:rPr>
                <w:rFonts w:hint="eastAsia" w:ascii="方正兰亭细黑_GBK_M" w:hAnsi="方正兰亭细黑_GBK_M" w:eastAsia="方正兰亭细黑_GBK_M" w:cs="方正兰亭细黑_GBK_M"/>
                <w:sz w:val="24"/>
                <w:lang w:val="en-US" w:eastAsia="zh-CN"/>
              </w:rPr>
            </w:pPr>
            <w:r>
              <w:rPr>
                <w:rFonts w:hint="eastAsia" w:ascii="方正兰亭细黑_GBK_M" w:hAnsi="方正兰亭细黑_GBK_M" w:eastAsia="方正兰亭细黑_GBK_M" w:cs="方正兰亭细黑_GBK_M"/>
                <w:sz w:val="24"/>
                <w:lang w:val="en-US" w:eastAsia="zh-CN"/>
              </w:rPr>
              <w:t>1</w:t>
            </w:r>
          </w:p>
        </w:tc>
      </w:tr>
      <w:tr w14:paraId="1AF1FD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5394" w:type="dxa"/>
            <w:noWrap w:val="0"/>
            <w:vAlign w:val="center"/>
          </w:tcPr>
          <w:p w14:paraId="1CC15917">
            <w:pPr>
              <w:spacing w:line="280" w:lineRule="exact"/>
              <w:rPr>
                <w:rFonts w:ascii="方正兰亭细黑_GBK_M" w:hAnsi="方正兰亭细黑_GBK_M" w:eastAsia="方正兰亭细黑_GBK_M" w:cs="方正兰亭细黑_GBK_M"/>
                <w:sz w:val="24"/>
              </w:rPr>
            </w:pPr>
            <w:r>
              <w:rPr>
                <w:rFonts w:ascii="方正兰亭细黑_GBK_M" w:hAnsi="方正兰亭细黑_GBK_M" w:eastAsia="方正兰亭细黑_GBK_M" w:cs="方正兰亭细黑_GBK_M"/>
                <w:sz w:val="24"/>
              </w:rPr>
              <w:t>电源线</w:t>
            </w:r>
          </w:p>
        </w:tc>
        <w:tc>
          <w:tcPr>
            <w:tcW w:w="709" w:type="dxa"/>
            <w:noWrap w:val="0"/>
            <w:vAlign w:val="center"/>
          </w:tcPr>
          <w:p w14:paraId="3FFBEBBB">
            <w:pPr>
              <w:spacing w:line="280" w:lineRule="exact"/>
              <w:jc w:val="center"/>
              <w:rPr>
                <w:rFonts w:ascii="方正兰亭细黑_GBK_M" w:hAnsi="方正兰亭细黑_GBK_M" w:eastAsia="方正兰亭细黑_GBK_M" w:cs="方正兰亭细黑_GBK_M"/>
                <w:sz w:val="24"/>
              </w:rPr>
            </w:pPr>
            <w:r>
              <w:rPr>
                <w:rFonts w:ascii="方正兰亭细黑_GBK_M" w:hAnsi="方正兰亭细黑_GBK_M" w:eastAsia="方正兰亭细黑_GBK_M" w:cs="方正兰亭细黑_GBK_M"/>
                <w:sz w:val="24"/>
              </w:rPr>
              <w:t>1</w:t>
            </w:r>
          </w:p>
        </w:tc>
      </w:tr>
      <w:tr w14:paraId="12D072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5394" w:type="dxa"/>
            <w:noWrap w:val="0"/>
            <w:vAlign w:val="center"/>
          </w:tcPr>
          <w:p w14:paraId="512F9159">
            <w:pPr>
              <w:spacing w:line="280" w:lineRule="exact"/>
              <w:rPr>
                <w:rFonts w:ascii="方正兰亭细黑_GBK_M" w:hAnsi="方正兰亭细黑_GBK_M" w:eastAsia="方正兰亭细黑_GBK_M" w:cs="方正兰亭细黑_GBK_M"/>
                <w:sz w:val="24"/>
              </w:rPr>
            </w:pPr>
            <w:r>
              <w:rPr>
                <w:rFonts w:ascii="方正兰亭细黑_GBK_M" w:hAnsi="方正兰亭细黑_GBK_M" w:eastAsia="方正兰亭细黑_GBK_M" w:cs="方正兰亭细黑_GBK_M"/>
                <w:sz w:val="24"/>
              </w:rPr>
              <w:t>输液架</w:t>
            </w:r>
          </w:p>
        </w:tc>
        <w:tc>
          <w:tcPr>
            <w:tcW w:w="709" w:type="dxa"/>
            <w:noWrap w:val="0"/>
            <w:vAlign w:val="center"/>
          </w:tcPr>
          <w:p w14:paraId="3AF098A0">
            <w:pPr>
              <w:spacing w:line="280" w:lineRule="exact"/>
              <w:jc w:val="center"/>
              <w:rPr>
                <w:rFonts w:ascii="方正兰亭细黑_GBK_M" w:hAnsi="方正兰亭细黑_GBK_M" w:eastAsia="方正兰亭细黑_GBK_M" w:cs="方正兰亭细黑_GBK_M"/>
                <w:sz w:val="24"/>
              </w:rPr>
            </w:pPr>
            <w:r>
              <w:rPr>
                <w:rFonts w:ascii="方正兰亭细黑_GBK_M" w:hAnsi="方正兰亭细黑_GBK_M" w:eastAsia="方正兰亭细黑_GBK_M" w:cs="方正兰亭细黑_GBK_M"/>
                <w:sz w:val="24"/>
              </w:rPr>
              <w:t>1</w:t>
            </w:r>
          </w:p>
        </w:tc>
      </w:tr>
      <w:tr w14:paraId="2F1B89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5394" w:type="dxa"/>
            <w:noWrap w:val="0"/>
            <w:vAlign w:val="center"/>
          </w:tcPr>
          <w:p w14:paraId="0B99C18E">
            <w:pPr>
              <w:spacing w:line="280" w:lineRule="exact"/>
              <w:rPr>
                <w:rFonts w:ascii="方正兰亭细黑_GBK_M" w:hAnsi="方正兰亭细黑_GBK_M" w:eastAsia="方正兰亭细黑_GBK_M" w:cs="方正兰亭细黑_GBK_M"/>
                <w:sz w:val="24"/>
              </w:rPr>
            </w:pPr>
            <w:r>
              <w:rPr>
                <w:rFonts w:ascii="方正兰亭细黑_GBK_M" w:hAnsi="方正兰亭细黑_GBK_M" w:eastAsia="方正兰亭细黑_GBK_M" w:cs="方正兰亭细黑_GBK_M"/>
                <w:sz w:val="24"/>
              </w:rPr>
              <w:t>托盘</w:t>
            </w:r>
          </w:p>
        </w:tc>
        <w:tc>
          <w:tcPr>
            <w:tcW w:w="709" w:type="dxa"/>
            <w:noWrap w:val="0"/>
            <w:vAlign w:val="center"/>
          </w:tcPr>
          <w:p w14:paraId="5B535B93">
            <w:pPr>
              <w:spacing w:line="280" w:lineRule="exact"/>
              <w:jc w:val="center"/>
              <w:rPr>
                <w:rFonts w:ascii="方正兰亭细黑_GBK_M" w:hAnsi="方正兰亭细黑_GBK_M" w:eastAsia="方正兰亭细黑_GBK_M" w:cs="方正兰亭细黑_GBK_M"/>
                <w:sz w:val="24"/>
              </w:rPr>
            </w:pPr>
            <w:r>
              <w:rPr>
                <w:rFonts w:ascii="方正兰亭细黑_GBK_M" w:hAnsi="方正兰亭细黑_GBK_M" w:eastAsia="方正兰亭细黑_GBK_M" w:cs="方正兰亭细黑_GBK_M"/>
                <w:sz w:val="24"/>
              </w:rPr>
              <w:t>1</w:t>
            </w:r>
          </w:p>
        </w:tc>
      </w:tr>
      <w:tr w14:paraId="7EFA98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5394" w:type="dxa"/>
            <w:noWrap w:val="0"/>
            <w:vAlign w:val="center"/>
          </w:tcPr>
          <w:p w14:paraId="3DDEBB12">
            <w:pPr>
              <w:spacing w:line="280" w:lineRule="exact"/>
              <w:rPr>
                <w:rFonts w:ascii="方正兰亭细黑_GBK_M" w:hAnsi="方正兰亭细黑_GBK_M" w:eastAsia="方正兰亭细黑_GBK_M" w:cs="方正兰亭细黑_GBK_M"/>
                <w:sz w:val="24"/>
              </w:rPr>
            </w:pPr>
            <w:r>
              <w:rPr>
                <w:rFonts w:hint="eastAsia" w:ascii="方正兰亭细黑_GBK_M" w:hAnsi="方正兰亭细黑_GBK_M" w:eastAsia="方正兰亭细黑_GBK_M" w:cs="方正兰亭细黑_GBK_M"/>
                <w:sz w:val="24"/>
              </w:rPr>
              <w:t>输氧管</w:t>
            </w:r>
          </w:p>
        </w:tc>
        <w:tc>
          <w:tcPr>
            <w:tcW w:w="709" w:type="dxa"/>
            <w:noWrap w:val="0"/>
            <w:vAlign w:val="center"/>
          </w:tcPr>
          <w:p w14:paraId="57B4D4EF">
            <w:pPr>
              <w:spacing w:line="280" w:lineRule="exact"/>
              <w:jc w:val="center"/>
              <w:rPr>
                <w:rFonts w:ascii="方正兰亭细黑_GBK_M" w:hAnsi="方正兰亭细黑_GBK_M" w:eastAsia="方正兰亭细黑_GBK_M" w:cs="方正兰亭细黑_GBK_M"/>
                <w:sz w:val="24"/>
              </w:rPr>
            </w:pPr>
            <w:r>
              <w:rPr>
                <w:rFonts w:hint="eastAsia" w:ascii="方正兰亭细黑_GBK_M" w:hAnsi="方正兰亭细黑_GBK_M" w:eastAsia="方正兰亭细黑_GBK_M" w:cs="方正兰亭细黑_GBK_M"/>
                <w:sz w:val="24"/>
              </w:rPr>
              <w:t>1</w:t>
            </w:r>
          </w:p>
        </w:tc>
      </w:tr>
      <w:tr w14:paraId="2FCCF8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5394" w:type="dxa"/>
            <w:noWrap w:val="0"/>
            <w:vAlign w:val="center"/>
          </w:tcPr>
          <w:p w14:paraId="0EA2AF38">
            <w:pPr>
              <w:spacing w:line="280" w:lineRule="exact"/>
              <w:rPr>
                <w:rFonts w:ascii="方正兰亭细黑_GBK_M" w:hAnsi="方正兰亭细黑_GBK_M" w:eastAsia="方正兰亭细黑_GBK_M" w:cs="方正兰亭细黑_GBK_M"/>
                <w:sz w:val="24"/>
              </w:rPr>
            </w:pPr>
            <w:r>
              <w:rPr>
                <w:rFonts w:ascii="方正兰亭细黑_GBK_M" w:hAnsi="方正兰亭细黑_GBK_M" w:eastAsia="方正兰亭细黑_GBK_M" w:cs="方正兰亭细黑_GBK_M"/>
                <w:sz w:val="24"/>
              </w:rPr>
              <w:t>皮肤温度传感器</w:t>
            </w:r>
          </w:p>
        </w:tc>
        <w:tc>
          <w:tcPr>
            <w:tcW w:w="709" w:type="dxa"/>
            <w:noWrap w:val="0"/>
            <w:vAlign w:val="center"/>
          </w:tcPr>
          <w:p w14:paraId="1841DAAA">
            <w:pPr>
              <w:spacing w:line="280" w:lineRule="exact"/>
              <w:jc w:val="center"/>
              <w:rPr>
                <w:rFonts w:ascii="方正兰亭细黑_GBK_M" w:hAnsi="方正兰亭细黑_GBK_M" w:eastAsia="方正兰亭细黑_GBK_M" w:cs="方正兰亭细黑_GBK_M"/>
                <w:sz w:val="24"/>
              </w:rPr>
            </w:pPr>
            <w:r>
              <w:rPr>
                <w:rFonts w:ascii="方正兰亭细黑_GBK_M" w:hAnsi="方正兰亭细黑_GBK_M" w:eastAsia="方正兰亭细黑_GBK_M" w:cs="方正兰亭细黑_GBK_M"/>
                <w:sz w:val="24"/>
              </w:rPr>
              <w:t>1</w:t>
            </w:r>
          </w:p>
        </w:tc>
      </w:tr>
      <w:tr w14:paraId="5E1331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5394" w:type="dxa"/>
            <w:noWrap w:val="0"/>
            <w:vAlign w:val="center"/>
          </w:tcPr>
          <w:p w14:paraId="2BE169B2">
            <w:pPr>
              <w:spacing w:line="280" w:lineRule="exact"/>
              <w:rPr>
                <w:rFonts w:ascii="方正兰亭细黑_GBK_M" w:hAnsi="方正兰亭细黑_GBK_M" w:eastAsia="方正兰亭细黑_GBK_M" w:cs="方正兰亭细黑_GBK_M"/>
                <w:sz w:val="24"/>
              </w:rPr>
            </w:pPr>
            <w:r>
              <w:rPr>
                <w:rFonts w:hint="eastAsia" w:ascii="方正兰亭细黑_GBK_M" w:hAnsi="方正兰亭细黑_GBK_M" w:eastAsia="方正兰亭细黑_GBK_M" w:cs="方正兰亭细黑_GBK_M"/>
                <w:sz w:val="24"/>
              </w:rPr>
              <w:t>单患者使用皮肤温度传感器</w:t>
            </w:r>
          </w:p>
        </w:tc>
        <w:tc>
          <w:tcPr>
            <w:tcW w:w="709" w:type="dxa"/>
            <w:noWrap w:val="0"/>
            <w:vAlign w:val="center"/>
          </w:tcPr>
          <w:p w14:paraId="4E6AB4F3">
            <w:pPr>
              <w:spacing w:line="280" w:lineRule="exact"/>
              <w:jc w:val="center"/>
              <w:rPr>
                <w:rFonts w:ascii="方正兰亭细黑_GBK_M" w:hAnsi="方正兰亭细黑_GBK_M" w:eastAsia="方正兰亭细黑_GBK_M" w:cs="方正兰亭细黑_GBK_M"/>
                <w:sz w:val="24"/>
              </w:rPr>
            </w:pPr>
            <w:r>
              <w:rPr>
                <w:rFonts w:hint="eastAsia" w:ascii="方正兰亭细黑_GBK_M" w:hAnsi="方正兰亭细黑_GBK_M" w:eastAsia="方正兰亭细黑_GBK_M" w:cs="方正兰亭细黑_GBK_M"/>
                <w:sz w:val="24"/>
              </w:rPr>
              <w:t>1</w:t>
            </w:r>
          </w:p>
        </w:tc>
      </w:tr>
      <w:tr w14:paraId="7F4083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5394" w:type="dxa"/>
            <w:noWrap w:val="0"/>
            <w:vAlign w:val="center"/>
          </w:tcPr>
          <w:p w14:paraId="51A3D230">
            <w:pPr>
              <w:spacing w:line="280" w:lineRule="exact"/>
              <w:rPr>
                <w:rFonts w:ascii="方正兰亭细黑_GBK_M" w:hAnsi="方正兰亭细黑_GBK_M" w:eastAsia="方正兰亭细黑_GBK_M" w:cs="方正兰亭细黑_GBK_M"/>
                <w:sz w:val="24"/>
              </w:rPr>
            </w:pPr>
            <w:r>
              <w:rPr>
                <w:rFonts w:ascii="方正兰亭细黑_GBK_M" w:hAnsi="方正兰亭细黑_GBK_M" w:eastAsia="方正兰亭细黑_GBK_M" w:cs="方正兰亭细黑_GBK_M"/>
                <w:sz w:val="24"/>
              </w:rPr>
              <w:t>空气过滤材料</w:t>
            </w:r>
          </w:p>
        </w:tc>
        <w:tc>
          <w:tcPr>
            <w:tcW w:w="709" w:type="dxa"/>
            <w:noWrap w:val="0"/>
            <w:vAlign w:val="center"/>
          </w:tcPr>
          <w:p w14:paraId="79848775">
            <w:pPr>
              <w:spacing w:line="280" w:lineRule="exact"/>
              <w:jc w:val="center"/>
              <w:rPr>
                <w:rFonts w:hint="eastAsia" w:ascii="方正兰亭细黑_GBK_M" w:hAnsi="方正兰亭细黑_GBK_M" w:eastAsia="方正兰亭细黑_GBK_M" w:cs="方正兰亭细黑_GBK_M"/>
                <w:sz w:val="24"/>
              </w:rPr>
            </w:pPr>
            <w:r>
              <w:rPr>
                <w:rFonts w:ascii="方正兰亭细黑_GBK_M" w:hAnsi="方正兰亭细黑_GBK_M" w:eastAsia="方正兰亭细黑_GBK_M" w:cs="方正兰亭细黑_GBK_M"/>
                <w:sz w:val="24"/>
              </w:rPr>
              <w:t>1</w:t>
            </w:r>
          </w:p>
        </w:tc>
      </w:tr>
      <w:tr w14:paraId="59FC4F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5394" w:type="dxa"/>
            <w:noWrap w:val="0"/>
            <w:vAlign w:val="center"/>
          </w:tcPr>
          <w:p w14:paraId="0E0E3BF2">
            <w:pPr>
              <w:spacing w:line="280" w:lineRule="exact"/>
              <w:rPr>
                <w:rFonts w:ascii="方正兰亭细黑_GBK_M" w:hAnsi="方正兰亭细黑_GBK_M" w:eastAsia="方正兰亭细黑_GBK_M" w:cs="方正兰亭细黑_GBK_M"/>
                <w:sz w:val="24"/>
              </w:rPr>
            </w:pPr>
            <w:r>
              <w:rPr>
                <w:rFonts w:ascii="方正兰亭细黑_GBK_M" w:hAnsi="方正兰亭细黑_GBK_M" w:eastAsia="方正兰亭细黑_GBK_M" w:cs="方正兰亭细黑_GBK_M"/>
                <w:sz w:val="24"/>
              </w:rPr>
              <w:t>T型熔丝管1.6AL/250V（用于光源配置为LED）</w:t>
            </w:r>
          </w:p>
        </w:tc>
        <w:tc>
          <w:tcPr>
            <w:tcW w:w="709" w:type="dxa"/>
            <w:noWrap w:val="0"/>
            <w:vAlign w:val="center"/>
          </w:tcPr>
          <w:p w14:paraId="7151E5B2">
            <w:pPr>
              <w:spacing w:line="280" w:lineRule="exact"/>
              <w:jc w:val="center"/>
              <w:rPr>
                <w:rFonts w:ascii="方正兰亭细黑_GBK_M" w:hAnsi="方正兰亭细黑_GBK_M" w:eastAsia="方正兰亭细黑_GBK_M" w:cs="方正兰亭细黑_GBK_M"/>
                <w:sz w:val="24"/>
              </w:rPr>
            </w:pPr>
            <w:r>
              <w:rPr>
                <w:rFonts w:ascii="方正兰亭细黑_GBK_M" w:hAnsi="方正兰亭细黑_GBK_M" w:eastAsia="方正兰亭细黑_GBK_M" w:cs="方正兰亭细黑_GBK_M"/>
                <w:sz w:val="24"/>
              </w:rPr>
              <w:t>2</w:t>
            </w:r>
          </w:p>
        </w:tc>
      </w:tr>
      <w:tr w14:paraId="583FA9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5394" w:type="dxa"/>
            <w:noWrap w:val="0"/>
            <w:vAlign w:val="center"/>
          </w:tcPr>
          <w:p w14:paraId="74D07D79">
            <w:pPr>
              <w:spacing w:line="280" w:lineRule="exact"/>
              <w:rPr>
                <w:rFonts w:ascii="方正兰亭细黑_GBK_M" w:hAnsi="方正兰亭细黑_GBK_M" w:eastAsia="方正兰亭细黑_GBK_M" w:cs="方正兰亭细黑_GBK_M"/>
                <w:sz w:val="24"/>
              </w:rPr>
            </w:pPr>
            <w:r>
              <w:rPr>
                <w:rFonts w:ascii="方正兰亭细黑_GBK_M" w:hAnsi="方正兰亭细黑_GBK_M" w:eastAsia="方正兰亭细黑_GBK_M" w:cs="方正兰亭细黑_GBK_M"/>
                <w:sz w:val="24"/>
              </w:rPr>
              <w:t>操作窗塑料套</w:t>
            </w:r>
          </w:p>
        </w:tc>
        <w:tc>
          <w:tcPr>
            <w:tcW w:w="709" w:type="dxa"/>
            <w:noWrap w:val="0"/>
            <w:vAlign w:val="center"/>
          </w:tcPr>
          <w:p w14:paraId="75EE5707">
            <w:pPr>
              <w:spacing w:line="280" w:lineRule="exact"/>
              <w:jc w:val="center"/>
              <w:rPr>
                <w:rFonts w:ascii="方正兰亭细黑_GBK_M" w:hAnsi="方正兰亭细黑_GBK_M" w:eastAsia="方正兰亭细黑_GBK_M" w:cs="方正兰亭细黑_GBK_M"/>
                <w:sz w:val="24"/>
              </w:rPr>
            </w:pPr>
            <w:r>
              <w:rPr>
                <w:rFonts w:ascii="方正兰亭细黑_GBK_M" w:hAnsi="方正兰亭细黑_GBK_M" w:eastAsia="方正兰亭细黑_GBK_M" w:cs="方正兰亭细黑_GBK_M"/>
                <w:sz w:val="24"/>
              </w:rPr>
              <w:t>4</w:t>
            </w:r>
          </w:p>
        </w:tc>
      </w:tr>
      <w:tr w14:paraId="59CD18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5394" w:type="dxa"/>
            <w:noWrap w:val="0"/>
            <w:vAlign w:val="center"/>
          </w:tcPr>
          <w:p w14:paraId="6260E6BB">
            <w:pPr>
              <w:spacing w:line="280" w:lineRule="exact"/>
              <w:rPr>
                <w:rFonts w:ascii="方正兰亭细黑_GBK_M" w:hAnsi="方正兰亭细黑_GBK_M" w:eastAsia="方正兰亭细黑_GBK_M" w:cs="方正兰亭细黑_GBK_M"/>
                <w:sz w:val="24"/>
              </w:rPr>
            </w:pPr>
            <w:r>
              <w:rPr>
                <w:rFonts w:ascii="方正兰亭细黑_GBK_M" w:hAnsi="方正兰亭细黑_GBK_M" w:eastAsia="方正兰亭细黑_GBK_M" w:cs="方正兰亭细黑_GBK_M"/>
                <w:sz w:val="24"/>
              </w:rPr>
              <w:t>转动圆窗塑料套</w:t>
            </w:r>
          </w:p>
        </w:tc>
        <w:tc>
          <w:tcPr>
            <w:tcW w:w="709" w:type="dxa"/>
            <w:noWrap w:val="0"/>
            <w:vAlign w:val="center"/>
          </w:tcPr>
          <w:p w14:paraId="754D3650">
            <w:pPr>
              <w:spacing w:line="280" w:lineRule="exact"/>
              <w:jc w:val="center"/>
              <w:rPr>
                <w:rFonts w:ascii="方正兰亭细黑_GBK_M" w:hAnsi="方正兰亭细黑_GBK_M" w:eastAsia="方正兰亭细黑_GBK_M" w:cs="方正兰亭细黑_GBK_M"/>
                <w:sz w:val="24"/>
              </w:rPr>
            </w:pPr>
            <w:r>
              <w:rPr>
                <w:rFonts w:ascii="方正兰亭细黑_GBK_M" w:hAnsi="方正兰亭细黑_GBK_M" w:eastAsia="方正兰亭细黑_GBK_M" w:cs="方正兰亭细黑_GBK_M"/>
                <w:sz w:val="24"/>
              </w:rPr>
              <w:t>2</w:t>
            </w:r>
          </w:p>
        </w:tc>
      </w:tr>
      <w:tr w14:paraId="3FCC84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5394" w:type="dxa"/>
            <w:noWrap w:val="0"/>
            <w:vAlign w:val="center"/>
          </w:tcPr>
          <w:p w14:paraId="7A591650">
            <w:pPr>
              <w:spacing w:line="280" w:lineRule="exact"/>
              <w:rPr>
                <w:rFonts w:ascii="方正兰亭细黑_GBK_M" w:hAnsi="方正兰亭细黑_GBK_M" w:eastAsia="方正兰亭细黑_GBK_M" w:cs="方正兰亭细黑_GBK_M"/>
                <w:sz w:val="24"/>
              </w:rPr>
            </w:pPr>
            <w:r>
              <w:rPr>
                <w:rFonts w:hint="eastAsia" w:ascii="方正兰亭细黑_GBK_M" w:hAnsi="方正兰亭细黑_GBK_M" w:eastAsia="方正兰亭细黑_GBK_M" w:cs="方正兰亭细黑_GBK_M"/>
                <w:sz w:val="24"/>
              </w:rPr>
              <w:t>记录显示板</w:t>
            </w:r>
          </w:p>
        </w:tc>
        <w:tc>
          <w:tcPr>
            <w:tcW w:w="709" w:type="dxa"/>
            <w:noWrap w:val="0"/>
            <w:vAlign w:val="center"/>
          </w:tcPr>
          <w:p w14:paraId="5115B03A">
            <w:pPr>
              <w:spacing w:line="280" w:lineRule="exact"/>
              <w:jc w:val="center"/>
              <w:rPr>
                <w:rFonts w:ascii="方正兰亭细黑_GBK_M" w:hAnsi="方正兰亭细黑_GBK_M" w:eastAsia="方正兰亭细黑_GBK_M" w:cs="方正兰亭细黑_GBK_M"/>
                <w:sz w:val="24"/>
              </w:rPr>
            </w:pPr>
            <w:r>
              <w:rPr>
                <w:rFonts w:hint="eastAsia" w:ascii="方正兰亭细黑_GBK_M" w:hAnsi="方正兰亭细黑_GBK_M" w:eastAsia="方正兰亭细黑_GBK_M" w:cs="方正兰亭细黑_GBK_M"/>
                <w:sz w:val="24"/>
              </w:rPr>
              <w:t>1</w:t>
            </w:r>
          </w:p>
        </w:tc>
      </w:tr>
    </w:tbl>
    <w:p w14:paraId="3EC1F586">
      <w:pPr>
        <w:pStyle w:val="2"/>
        <w:keepNext/>
        <w:widowControl w:val="0"/>
        <w:numPr>
          <w:ilvl w:val="0"/>
          <w:numId w:val="0"/>
        </w:numPr>
        <w:jc w:val="both"/>
        <w:outlineLvl w:val="2"/>
        <w:rPr>
          <w:rFonts w:hint="eastAsia"/>
        </w:rPr>
      </w:pPr>
    </w:p>
    <w:p w14:paraId="0FBC5E87">
      <w:pPr>
        <w:rPr>
          <w:rFonts w:hint="eastAsia"/>
        </w:rPr>
      </w:pPr>
    </w:p>
    <w:p w14:paraId="645BF595">
      <w:pPr>
        <w:numPr>
          <w:ilvl w:val="0"/>
          <w:numId w:val="0"/>
        </w:numPr>
        <w:spacing w:line="360" w:lineRule="auto"/>
        <w:ind w:leftChars="0"/>
        <w:rPr>
          <w:b w:val="0"/>
          <w:bCs w:val="0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>商务要求：</w:t>
      </w:r>
    </w:p>
    <w:p w14:paraId="72E9990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仿宋" w:hAnsi="仿宋" w:eastAsia="仿宋" w:cs="Times New Roman"/>
          <w:kern w:val="2"/>
          <w:sz w:val="32"/>
          <w:szCs w:val="40"/>
          <w:lang w:val="zh-CN" w:eastAsia="zh-CN" w:bidi="ar-SA"/>
        </w:rPr>
      </w:pPr>
      <w:r>
        <w:rPr>
          <w:rFonts w:hint="eastAsia" w:ascii="仿宋" w:hAnsi="仿宋" w:eastAsia="仿宋" w:cs="Times New Roman"/>
          <w:b w:val="0"/>
          <w:bCs w:val="0"/>
          <w:kern w:val="2"/>
          <w:sz w:val="32"/>
          <w:szCs w:val="40"/>
          <w:lang w:val="en-US" w:eastAsia="zh-CN" w:bidi="ar-SA"/>
        </w:rPr>
        <w:t>1</w:t>
      </w:r>
      <w:r>
        <w:rPr>
          <w:rFonts w:hint="eastAsia" w:ascii="仿宋" w:hAnsi="仿宋" w:eastAsia="仿宋" w:cs="Times New Roman"/>
          <w:b w:val="0"/>
          <w:bCs w:val="0"/>
          <w:kern w:val="2"/>
          <w:sz w:val="32"/>
          <w:szCs w:val="40"/>
          <w:lang w:val="zh-CN" w:eastAsia="zh-CN" w:bidi="ar-SA"/>
        </w:rPr>
        <w:t>）交付时间：自合同签</w:t>
      </w:r>
      <w:r>
        <w:rPr>
          <w:rFonts w:hint="eastAsia" w:ascii="仿宋" w:hAnsi="仿宋" w:eastAsia="仿宋" w:cs="Times New Roman"/>
          <w:kern w:val="2"/>
          <w:sz w:val="32"/>
          <w:szCs w:val="40"/>
          <w:lang w:val="zh-CN" w:eastAsia="zh-CN" w:bidi="ar-SA"/>
        </w:rPr>
        <w:t>订之日起</w:t>
      </w:r>
      <w:r>
        <w:rPr>
          <w:rFonts w:hint="eastAsia" w:ascii="仿宋" w:hAnsi="仿宋" w:eastAsia="仿宋" w:cs="Times New Roman"/>
          <w:kern w:val="2"/>
          <w:sz w:val="32"/>
          <w:szCs w:val="40"/>
          <w:highlight w:val="yellow"/>
          <w:lang w:val="en-US" w:eastAsia="zh-CN" w:bidi="ar-SA"/>
        </w:rPr>
        <w:t xml:space="preserve">  30  </w:t>
      </w:r>
      <w:r>
        <w:rPr>
          <w:rFonts w:hint="eastAsia" w:ascii="仿宋" w:hAnsi="仿宋" w:eastAsia="仿宋" w:cs="Times New Roman"/>
          <w:kern w:val="2"/>
          <w:sz w:val="32"/>
          <w:szCs w:val="40"/>
          <w:lang w:val="zh-CN" w:eastAsia="zh-CN" w:bidi="ar-SA"/>
        </w:rPr>
        <w:t>日内完成交货、安装调试</w:t>
      </w:r>
    </w:p>
    <w:p w14:paraId="5C9FC8E8">
      <w:pPr>
        <w:pStyle w:val="6"/>
        <w:numPr>
          <w:ilvl w:val="0"/>
          <w:numId w:val="0"/>
        </w:numPr>
        <w:spacing w:line="360" w:lineRule="auto"/>
        <w:ind w:firstLine="640" w:firstLineChars="200"/>
        <w:rPr>
          <w:rFonts w:hint="default" w:ascii="仿宋" w:hAnsi="仿宋" w:eastAsia="仿宋" w:cs="Times New Roman"/>
          <w:kern w:val="2"/>
          <w:sz w:val="32"/>
          <w:szCs w:val="40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32"/>
          <w:szCs w:val="40"/>
          <w:lang w:val="en-US" w:eastAsia="zh-CN" w:bidi="ar-SA"/>
        </w:rPr>
        <w:t>2</w:t>
      </w:r>
      <w:r>
        <w:rPr>
          <w:rFonts w:hint="eastAsia" w:ascii="仿宋" w:hAnsi="仿宋" w:eastAsia="仿宋" w:cs="Times New Roman"/>
          <w:kern w:val="2"/>
          <w:sz w:val="32"/>
          <w:szCs w:val="40"/>
          <w:lang w:val="zh-CN" w:eastAsia="zh-CN" w:bidi="ar-SA"/>
        </w:rPr>
        <w:t>）质保期：整机质保</w:t>
      </w:r>
      <w:r>
        <w:rPr>
          <w:rFonts w:hint="eastAsia" w:ascii="仿宋" w:hAnsi="仿宋" w:eastAsia="仿宋" w:cs="Times New Roman"/>
          <w:kern w:val="2"/>
          <w:sz w:val="32"/>
          <w:szCs w:val="40"/>
          <w:highlight w:val="yellow"/>
          <w:lang w:val="en-US" w:eastAsia="zh-CN" w:bidi="ar-SA"/>
        </w:rPr>
        <w:t xml:space="preserve"> 6 </w:t>
      </w:r>
      <w:r>
        <w:rPr>
          <w:rFonts w:hint="eastAsia" w:ascii="仿宋" w:hAnsi="仿宋" w:eastAsia="仿宋" w:cs="Times New Roman"/>
          <w:kern w:val="2"/>
          <w:sz w:val="32"/>
          <w:szCs w:val="40"/>
          <w:lang w:val="en-US" w:eastAsia="zh-CN" w:bidi="ar-SA"/>
        </w:rPr>
        <w:t>年</w:t>
      </w:r>
    </w:p>
    <w:p w14:paraId="1FD99130"/>
    <w:sectPr>
      <w:headerReference r:id="rId3" w:type="default"/>
      <w:pgSz w:w="11900" w:h="16840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4F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兰亭细黑_GBK_M">
    <w:altName w:val="黑体"/>
    <w:panose1 w:val="02010600010101010101"/>
    <w:charset w:val="86"/>
    <w:family w:val="auto"/>
    <w:pitch w:val="default"/>
    <w:sig w:usb0="00000000" w:usb1="00000000" w:usb2="00000016" w:usb3="00000000" w:csb0="803F01B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CC8D02"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EB843AC"/>
    <w:multiLevelType w:val="singleLevel"/>
    <w:tmpl w:val="BEB843AC"/>
    <w:lvl w:ilvl="0" w:tentative="0">
      <w:start w:val="1"/>
      <w:numFmt w:val="lowerLetter"/>
      <w:lvlText w:val="%1."/>
      <w:lvlJc w:val="left"/>
      <w:pPr>
        <w:tabs>
          <w:tab w:val="left" w:pos="840"/>
        </w:tabs>
        <w:ind w:left="1265" w:hanging="425"/>
      </w:pPr>
      <w:rPr>
        <w:rFonts w:hint="default"/>
      </w:rPr>
    </w:lvl>
  </w:abstractNum>
  <w:abstractNum w:abstractNumId="1">
    <w:nsid w:val="C11315C8"/>
    <w:multiLevelType w:val="singleLevel"/>
    <w:tmpl w:val="C11315C8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  <w:b w:val="0"/>
        <w:bCs w:val="0"/>
      </w:rPr>
    </w:lvl>
  </w:abstractNum>
  <w:abstractNum w:abstractNumId="2">
    <w:nsid w:val="50017CBD"/>
    <w:multiLevelType w:val="singleLevel"/>
    <w:tmpl w:val="50017CBD"/>
    <w:lvl w:ilvl="0" w:tentative="0">
      <w:start w:val="1"/>
      <w:numFmt w:val="lowerLetter"/>
      <w:lvlText w:val="%1."/>
      <w:lvlJc w:val="left"/>
      <w:pPr>
        <w:tabs>
          <w:tab w:val="left" w:pos="840"/>
        </w:tabs>
        <w:ind w:left="1265" w:hanging="425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E26D53"/>
    <w:rsid w:val="72470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outlineLvl w:val="2"/>
    </w:pPr>
    <w:rPr>
      <w:rFonts w:ascii="楷体_GB2312" w:hAnsi="宋体" w:eastAsia="黑体"/>
      <w:b/>
      <w:bCs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表段落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陈琼</cp:lastModifiedBy>
  <dcterms:modified xsi:type="dcterms:W3CDTF">2025-08-21T01:37:45Z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KSOTemplateDocerSaveRecord">
    <vt:lpwstr>eyJoZGlkIjoiN2Y4ZjU0YWM4MjZiNzk0YTc3YzAzMmIzYTA3OTE3M2YiLCJ1c2VySWQiOiIxMDQzNDczNTE2In0=</vt:lpwstr>
  </property>
  <property fmtid="{D5CDD505-2E9C-101B-9397-08002B2CF9AE}" pid="4" name="ICV">
    <vt:lpwstr>7D1DC4BD52394CF0B6371B0267BAABE3_12</vt:lpwstr>
  </property>
</Properties>
</file>